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2C_194/2009 vom 24. Juni 2009</w:t>
      </w:r>
    </w:p>
    <w:p>
      <w:r>
        <w:t>Bundesgericht, 2009-06-24, DE</w:t>
      </w:r>
    </w:p>
    <w:p>
      <w:r>
        <w:rPr>
          <w:b/>
        </w:rPr>
        <w:t xml:space="preserve">Quelle: </w:t>
      </w:r>
      <w:r>
        <w:t>https://mcp.opencaselaw.ch/entscheid/bger_2C_194_2009</w:t>
      </w:r>
    </w:p>
    <w:p>
      <w:r>
        <w:t>FR: TF 2C_194/2009 du 24 juin 2009</w:t>
      </w:r>
    </w:p>
    <w:p>
      <w:r>
        <w:t>IT: TF 2C_194/2009 del 24 giugno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Zu Recht beruft sich der Beschwerdeführer für die Verlängerung seiner Aufenthaltsbewilligung nicht auf Art. 7 Abs. 1 ANAG . Zwar ist er mit seiner schweizerischen Ehefrau immer noch verheiratet, aber die die Ehe besteht unbestrittenermassen nur noch formell und ohne Hoffnung auf Wiederaufnahme des ehelichen Zusammenlebens, weshalb der Beschwerdeführer daraus keinen Anspruch auf Aufenthaltsbewilligung ableiten kann. Hingegen ist das gemeinsame Kind Schweizer Bürger und verfügt somit über ein gefestigtes Anwesenheitsrecht in der Schweiz. Zu seinem Sohn hat der Beschwerdeführer eine Beziehung, welche intakt scheint und auch gelebt wird. Da er eine familiäre Beziehung zu seinem Kind pflegt, hat er gestützt auf Art. 8 EMRK einen (bedingten) Rechtsanspruch auf eine Aufenthaltsbewilligung ( BGE 122 II 1 E. 1e S. 5 mit Hinweisen). Ob die Bewilligung verweigert werden durfte, betrifft nicht das Eintreten, sondern bildet Gegenstand der materiellen Beurteilung (vgl. BGE 128 II 145 E. 1.1.5 S. 150 mit Hinweisen).</w:t>
      </w:r>
    </w:p>
    <w:p>
      <w:r>
        <w:rPr>
          <w:b/>
        </w:rPr>
        <w:t>E. 1.4</w:t>
      </w:r>
    </w:p>
    <w:p>
      <w:r>
        <w:t>Die Beschwerde an das Bundesgericht wurde per A-Post eingereicht. Der Poststempel auf dem Briefumschlag ist nicht lesbar und als Nachweis für die rechtzeitige Postaufgabe wurde einzig der Zeugenbeweis durch die von der Anwaltskanzlei beauftragte Person angeboten. Ob die Beschwerde wirklich am letzten Tag der Frist (Freitag, 20. März 2009) der Post übergeben wurde, kann indessen dahin gestellt bleiben, da das Rechtsmittel ohnehin nicht durchdringt.</w:t>
      </w:r>
    </w:p>
    <w:p>
      <w:r>
        <w:rPr>
          <w:b/>
        </w:rPr>
        <w:t>E. 1.5</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1.6</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Art. 8 EMRK sowie Art. 13 Abs. 1 BV (vgl. BGE 126 II 377 E. 7 S. 394)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130 II 281 E. 3.1 S. 285 mit Hinweisen). Der Beschwerdeführer beruft sich in diesem Zusammenhang auf seine familiären Bindungen zu seinem Sohn.</w:t>
      </w:r>
    </w:p>
    <w:p>
      <w:r>
        <w:rPr>
          <w:b/>
        </w:rPr>
        <w:t>E. 2.2</w:t>
      </w:r>
    </w:p>
    <w:p>
      <w:r>
        <w:t>Zunächst ist festzuhalten, dass der Anspruch auf Achtung des Familienlebens gemäss Art. 8 Ziff. 1 EMRK nicht absolut gilt (vgl. BGE 120 Ib 22 E. 4a S. 24 f.). In der Regel kann sich im Hinblick auf eine Bewilligungserteilung nur derjenige auf Art. 8 EMRK berufen, der mit der in der Schweiz anwesenheitsberechtigten Person zusammen lebt. Der nicht sorgeberechtigte Ausländer kann die familiäre Beziehung zu seinen Kindern zum Vornherein nur in einem beschränkten Rahmen, nämlich durch Ausübung des ihm eingeräumten Besuchsrechts, leben; hierzu ist regelmässig nicht erforderlich, dass er dauernd im gleichen Land wie das Kind lebt und dort über eine Anwesenheitsberechtigung verfügt. Ein Besuchsrecht gegenüber einem in der Schweiz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geeignet aus- bzw. umzugestalten sind. Die Aufenthaltsbewilligung ist nach der bundesgerichtlichen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BGE 120 Ib 1 E. 3c S. 5, 22 E. 4; Urteile 2C_870/2008 vom 26. Mai 2009 E. 2.2; 2A.110/2007 vom 2. August 2007 E. 3.4 mit Hinweisen).</w:t>
      </w:r>
    </w:p>
    <w:p>
      <w:r>
        <w:t>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2C_870/2008 vom 26. Mai 2009 E. 2.2; 2A.110/2007 vom 2. August 2007 E. 3.4 mit Hinweisen).</w:t>
      </w:r>
    </w:p>
    <w:p>
      <w:r>
        <w:rPr>
          <w:b/>
        </w:rPr>
        <w:t>E. 3.1</w:t>
      </w:r>
    </w:p>
    <w:p>
      <w:r>
        <w:t>Der in der Schweiz anwesenheitsberechtigte Sohn des Beschwerdeführers lebt mit seiner Mutter zusammen, unter deren elterlicher Sorge er steht. Die streitige fremdenpolizeiliche Massnahme betrifft demzufolge lediglich das vom Beschwerdeführer wahrgenommene Besuchsrecht. Dieses berechtigt den Beschwerdeführer, den Sohn abwechslungsweise am Samstag bzw. am Sonntag jeweils von 10 bis 16 Uhr in Gegenwart einer Drittperson zu besuchen. Gemäss dem Bericht der Besuchsbeiständin hat er sein Besuchsrecht weder regelmässig noch reibungslos ausgeübt und davon nur beschränkt Gebrauch gemacht, nämlich indem er seinen Sohn zusammen mit dessen Mutter auf dem Spielplatz jeweils für ungefähr eine Stunde getroffen hat. Im Übrigen hat er nur in Wohngemeinschaft mit seinem (heute fast fünfeinhalbjährigen) Sohn gelebt, bis dieser 18 Monate alt war. Von einer besonders engen Beziehung kann gemäss den für das Bundesgericht verbindlichen Feststellungen der Vorinstanz (vgl. E. 1.6) nicht die Rede sein. Der Beschwerdeführer bringt ebenfalls nichts vor, was auf eine mehr als normale Vater-Sohn-Beziehung hindeuten würde.</w:t>
      </w:r>
    </w:p>
    <w:p>
      <w:r>
        <w:rPr>
          <w:b/>
        </w:rPr>
        <w:t>E. 3.2</w:t>
      </w:r>
    </w:p>
    <w:p>
      <w:r>
        <w:t>Unbestrittenermassen bezahlt der Beschwerdeführer für seinen Sohn keine Unterhaltsleistungen, wobei dies allerdings darauf zurückzuführen ist, dass der Beschwerdeführer arbeitslos ist und die Nichtverlängerung der Aufenthaltsbewilligung die Arbeitssuche vermutlich erschwert hat. Immerhin steht damit aber fest, dass es auch in wirtschaftlicher Hinsicht an einer besonders engen Beziehung fehlt.</w:t>
      </w:r>
    </w:p>
    <w:p>
      <w:r>
        <w:rPr>
          <w:b/>
        </w:rPr>
        <w:t>E. 3.3</w:t>
      </w:r>
    </w:p>
    <w:p>
      <w:r>
        <w:t>Der Schluss der Vorinstanz, zwischen dem Beschwerdeführer und seinem Sohn bestehe weder in wirtschaftlicher noch in affektiver Hinsicht eine besonders enge Beziehung, ist somit nicht zu beanstanden. Bei dieser Sachlage kommt dem Umstand, dass der Beschwerdeführer sein Besuchsrecht von Nigeria aus nur beschränkt und mit Schwierigkeiten verbunden wird ausüben können, keine entscheidende Bedeutung zu. Dies umso weniger, als der Beschwerdeführer sich in der Schweiz keineswegs tadellos verhalten hat und deshalb zweimal fremdenpolizeilich verwarnt wurde. Entgegen der Behauptung des Beschwerdeführers wurde ihm nicht nur vorgeworfen, dass er seinen Verpflichtungen betreffend Unterhaltszahlung nicht nachkam. Er wurde auch wegen Widerhandlung gegen die Ausländergesetzgebung bestraft. Vor allem fällt aber ins Gewicht, dass er wegen Drohungen, Hausfriedensbruchs und Tätlichkeiten gegenüber seiner heutigen Freundin verurteilt wurde und die Polizei auch wegen häuslicher Gewalt gegenüber seiner Ehefrau intervenieren musste. Aus den bundesgerichtlichen Urteilen auf die sich der Beschwerdeführer ausdrücklich beruft, kann er offensichtlich nichts zu seinen Gunsten ableiten, da die dortigen tatsächlichen und rechtlichen Verhältnisse mit den vorliegend zu beurteilenden Umständen überhaupt nicht vergleichbar sind. Weitere Ausführungen dazu erübrigen sich daher.</w:t>
      </w:r>
    </w:p>
    <w:p>
      <w:r>
        <w:rPr>
          <w:b/>
        </w:rPr>
        <w:t>E. 3.4</w:t>
      </w:r>
    </w:p>
    <w:p>
      <w:r>
        <w:t>Zusammenfassend ergibt sich, dass die Voraussetzungen, unter denen einem Ausländer zur Ausübung seines Besuchsrechtes gegenüber einem hier anwesenheitsberechtigten Kind der dauernde Aufenthalt zu bewilligen ist, vorliegend nicht erfüllt sind. Zur Begründung kann ergänzend auf die Ausführungen im angefochtenen Entscheid verwiesen werden ( Art. 109 Abs. 3 BGG ).</w:t>
      </w:r>
    </w:p>
    <w:p>
      <w:r>
        <w:rPr>
          <w:b/>
        </w:rPr>
        <w:t>E. 4.1</w:t>
      </w:r>
    </w:p>
    <w:p>
      <w:r>
        <w:t>Die Beschwerde erweist sich somit als offensichtlich unbegründet und ist im vereinfachten Verfahren nach Art. 109 BGG abzuweisen, soweit darauf eingetreten werden kann.</w:t>
      </w:r>
    </w:p>
    <w:p>
      <w:r>
        <w:rPr>
          <w:b/>
        </w:rPr>
        <w:t>E. 4.2</w:t>
      </w:r>
    </w:p>
    <w:p>
      <w:r>
        <w:t>Dem Gesuch um unentgeltliche Rechtspflege kann wegen Aussichtslosigkeit der Rechtsbegehren nicht entsprochen werden ( Art. 64 Abs. 1 BGG ). Der Beschwerdeführer wird somit kostenpflichtig ( Art. 66 BGG ). Bei der Bemessung der Gerichtsgebühr wird indessen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