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2C_192/2014 vom 4. Dezember 2014</w:t>
      </w:r>
    </w:p>
    <w:p>
      <w:r>
        <w:t>Bundesgericht, 2014-12-04, DE</w:t>
      </w:r>
    </w:p>
    <w:p>
      <w:r>
        <w:rPr>
          <w:b/>
        </w:rPr>
        <w:t xml:space="preserve">Quelle: </w:t>
      </w:r>
      <w:r>
        <w:t>https://mcp.opencaselaw.ch/entscheid/bger_2C_192_2014</w:t>
      </w:r>
    </w:p>
    <w:p>
      <w:r>
        <w:t>FR: TF 2C_192/2014 du 4 décembre 2014</w:t>
      </w:r>
    </w:p>
    <w:p>
      <w:r>
        <w:t>IT: TF 2C_192/2014 del 4 dicembre 2014</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w:t>
      </w:r>
    </w:p>
    <w:p>
      <w:r>
        <w:rPr>
          <w:b/>
        </w:rPr>
        <w:t>E. 1.2</w:t>
      </w:r>
    </w:p>
    <w:p>
      <w:r>
        <w:t>Der Beschwerdeführer ist seit 1994 von seiner schweizerischen Ehefrau geschieden und hat deshalb heute keinen landesrechtlichen gesetzlichen Anspruch mehr auf ein Anwesenheitsrecht in der Schweiz; er macht auch keinen solchen geltend. Er beruft sich jedoch in vertretbarer Weise auf einen Anspruch nach Art. 8 EMRK (Schutz des Familienlebens, Schutz des Privatlebens), so dass die Beschwerde in öffentlich-rechtlichen Angelegenheiten zulässig ist. Nicht einzutreten ist auf die Beschwerde, soweit sie die vorläufige Aufnahme verlangt oder sich gegen die Wegweisung richtet. Diesbezüglich ist die Beschwerde in öffentlich-rechtlichen Angelegenheiten an das Bundesgericht ausgeschlossen ( Art. 83 lit. c Ziff. 3 und 4 BGG ).</w:t>
      </w:r>
    </w:p>
    <w:p>
      <w:r>
        <w:rPr>
          <w:b/>
        </w:rPr>
        <w:t>E. 1.3</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Auf rein appellatorische Kritik an der Sachverhaltsermittlung oder der Beweiswürdigung tritt das Bundesgericht nicht ein ( BGE 137 II 353 E. 5.1 S. 356.)</w:t>
      </w:r>
    </w:p>
    <w:p>
      <w:r>
        <w:rPr>
          <w:b/>
        </w:rPr>
        <w:t>E. 2.1</w:t>
      </w:r>
    </w:p>
    <w:p>
      <w:r>
        <w:t>Nach der Rechtsprechung schützt Art. 8 EMRK im Zusammenhang mit der Bewilligung des Aufenthalts in erster Linie die Kernfamilie, d.h. die Gemeinschaft der Ehegatten mit ihren minderjährigen Kindern ( BGE 135 I 143 E. 1.3.2 S. 146; 129 II 11 E. 2 S. 14; 127 II 60 E. 1d/aa S. 65). In den Schutzbereich von Art. 8 EMRK fallen auch nicht rechtlich begründete familiäre Verhältnisse, sofern eine genügend nahe, echte und tatsächlich gelebte Beziehung besteht; entscheidend ist die Qualität des Familienlebens und nicht dessen rechtliche (oder biologische) Begründung ( BGE 135 I 143 E. 3.1 S. 148; vgl. auch Urteile des EGMR</w:t>
      </w:r>
    </w:p>
    <w:p>
      <w:r>
        <w:t>Khan gegen Vereinigtes Königreich vom 12. Januar 2010 [47486/06] § 34 f. mit Hinweisen;</w:t>
      </w:r>
    </w:p>
    <w:p>
      <w:r>
        <w:t>Ahrens gegen Deutschland vom 22. März 2012 [45071/09] § 58 ff.;</w:t>
      </w:r>
    </w:p>
    <w:p>
      <w:r>
        <w:t>Kautzor gegen Deutschland vom 22. März 2012 [23338/09] § 61 ff.). Die Beziehungen zwischen erwachsenen Kindern und ihren Eltern geniessen nach der Rechtsprechung des Bundesgerichts ( BGE 137 I 154 E. 3.4.2 S. 159; 120 Ib 257 E. 1e S. 261 f.; Urteile 2C_546/2013 vom 5. Dezember 2013 E. 4.1; 2C_508/2009 vom 20. Mai 2010 E. 2.2) und des Europäischen Gerichtshofes für Menschenrechte (EGMR) nicht den Schutz von Art. 8 EMRK , sofern nicht ein besonderes Abhängigkeitsverhältnis besteht, welches über die normalen affektiven Bindungen hinausgeht (Urteil des EGMR</w:t>
      </w:r>
    </w:p>
    <w:p>
      <w:r>
        <w:t>Emonet gegen Schweiz vom 13. Dezember 2007 [Nr. 39051/03] § 35).</w:t>
      </w:r>
    </w:p>
    <w:p>
      <w:r>
        <w:rPr>
          <w:b/>
        </w:rPr>
        <w:t>E. 2.2</w:t>
      </w:r>
    </w:p>
    <w:p>
      <w:r>
        <w:t>Vorliegend hat das Bundesverwaltungsgericht festgestellt, zwischen dem Beschwerdeführer und seinem hier - mit gefestigtem Anwesenheitsrecht (Schweizer Bürger) - lebenden volljährigen Sohn bestehe kein besonderes Abhängigkeitsverhältnis, zumal der Vater in einem Schreiben vom 27. März 2012 selber angegeben habe, er pflege in der Schweiz keine familiären Beziehungen mehr. Diese Sachverhaltsfeststellung ist für das Bundesgericht verbindlich, zumal der Beschwerdeführer nicht dartut, dass und inwiefern sie offensichtlich unrichtig sein soll (vorne E. 1.3); sie wird jedenfalls nicht allein dadurch willkürlich, dass der Beschwerdeführer dieses Schreiben rund zwei Wochen nach einem zehntägigen stationären Spitalaufenthalt wegen akuter psychotischer Dekompensation verfasst hat. Sodann macht der Beschwerdeführer auch in seiner Eingabe an das Bundesgericht bloss das Bestehen einer persönlichen Beziehung zu seinem Sohn geltend, wenn auch eine solche "von ausserordentlicher Wichtigkeit" (S. 6). Ein Abhängigkeitsverhältnis zu Personen ausserhalb der Kernfamilie mit gefestigtem Aufenthalt in der Schweiz ist damit aber nicht ersichtlich und ein Anspruch des Beschwerdeführers aus dem Recht auf Familienleben im Sinne der Rechtsprechung nicht gegeben. Der in der Eingabe an das Bundesgericht angerufene "Art. 8" aus der Beschwerdeschrift an die Vorinstanz ändert daran nichts, wird doch auch dort keine solche Abhängigkeit zwischen Vater und Sohn geltend gemacht.</w:t>
      </w:r>
    </w:p>
    <w:p>
      <w:r>
        <w:rPr>
          <w:b/>
        </w:rPr>
        <w:t>E. 3.1</w:t>
      </w:r>
    </w:p>
    <w:p>
      <w:r>
        <w:t>Der Beschwerdeführer behauptet sodann einen Rechtsanspruch gestützt auf sein Privatleben ( Art. 8 EMRK ). Nach der Rechtsprechung des EGMR bilden die sozialen Bindungen zwischen dem Einwanderer und der Gemeinschaft, in der dieser sein Leben und seinen Platz gefunden hat, Teil des Begriffs "Privatleben" im Sinne von Art. 8 EMRK (Urteil des EGMR</w:t>
      </w:r>
    </w:p>
    <w:p>
      <w:r>
        <w:t>Vasquez gegen Schweiz vom 26. November 2013 [Nr. 1785/08] § 37), insbesondere bei jungen Erwachsenen, die im Aufnahmestaat aufgewachsen sind (vgl. Urteil 2C_1229/2013 vom 14. Oktober 2014, E. 2.2 mit Hinweisen). Nach der bundesgerichtlichen Rechtsprechung bedarf es für einen entsprechenden Anspruch auf Achtung des Privatlebens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 BGE 130 II 281 E. 3.2.1 S. 286 f. mit Hinweisen; 126 II 377 E. 2c S. 384 ff.).</w:t>
      </w:r>
    </w:p>
    <w:p>
      <w:r>
        <w:t>Der Beschwerdeführer ist erst im Alter von 29 Jahren zum ersten Mal in die Schweiz eingereist, wo er ein Asylgesuch stellte (1987, vorne lit. A.). Zwischen 1994 und 1999 lebte er zudem mehrere Jahre - zum Teil ebenfalls als Asylbewerber - im Ausland, bevor er sich hier wieder um ein Aufenthaltsrecht bemühte. Seine insgesamt eher lange Anwesenheitsdauer im Land ist zu einem grossen Teil auf die damit verbundenen Verfahrensdauern zurückzuführen, welchen nicht dasselbe Gewicht beizumessen ist wie regulären, bewilligten Aufenthalten (Urteil des EGMR</w:t>
      </w:r>
    </w:p>
    <w:p>
      <w:r>
        <w:t>Palanci gegen Schweiz vom 25. März 2014 [Nr. 2607/08] § 59). Jedenfalls kann sich der Beschwerdeführer nicht auf besonders intensive, über eine normale Integration hinausgehende Bindungen gesellschaftlicher oder beruflicher Natur bzw. auf vertiefte soziale Beziehungen zum ausserfamiliären bzw. ausserhäuslichen Bereich berufen; er macht darüber hinaus im Übrigen auch gar keine solchen geltend.</w:t>
      </w:r>
    </w:p>
    <w:p>
      <w:r>
        <w:rPr>
          <w:b/>
        </w:rPr>
        <w:t>E. 4</w:t>
      </w:r>
    </w:p>
    <w:p>
      <w:r>
        <w:t>Damit ist die Beschwerde in öffentlich-rechtlichen Angelegenheiten als unbegründet abzuweisen, soweit darauf einzutreten ist. Auf die geltend gemachten Vollzugshindernisse gegen den Wegweisungsvollzug ist in diesem Rahmen nicht weiter einzugehen (vorne E. 1.2).</w:t>
      </w:r>
    </w:p>
    <w:p>
      <w:r>
        <w:t>Bei diesem Verfahrensausgang wird der unterliegende Beschwerdeführer kostenpflichtig (Art. 65/66 BGG). Seinem Gesuch um unentgeltliche Rechtspflege und Verbeiständung kann nicht entsprochen werden, da die gestellten Rechtsbegehren von vornherein aussichtslos waren ( Art. 64 Abs. 1 BGG ). Seiner finanziellen Lage wird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