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191/2016 vom 29. Februar 2016</w:t>
      </w:r>
    </w:p>
    <w:p>
      <w:r>
        <w:t>Bundesgericht, 2016-02-29, DE</w:t>
      </w:r>
    </w:p>
    <w:p>
      <w:r>
        <w:rPr>
          <w:b/>
        </w:rPr>
        <w:t xml:space="preserve">Quelle: </w:t>
      </w:r>
      <w:r>
        <w:t>https://mcp.opencaselaw.ch/entscheid/bger_2C_191_2016</w:t>
      </w:r>
    </w:p>
    <w:p>
      <w:r>
        <w:t>FR: TF 2C 191/2016 du 29 février 2016</w:t>
      </w:r>
    </w:p>
    <w:p>
      <w:r>
        <w:t>IT: TF 2C 191/2016 del 29 febbraio 2016</w:t>
      </w:r>
    </w:p>
    <w:p>
      <w:pPr>
        <w:pStyle w:val="Heading2"/>
      </w:pPr>
      <w:r>
        <w:t>Regeste</w:t>
      </w:r>
    </w:p>
    <w:p>
      <w:r>
        <w:t>Waffenbeschlagnahmung/Waffeneinziehung | Sicherheits- und Friedenspolitik</w:t>
      </w:r>
    </w:p>
    <w:p>
      <w:pPr>
        <w:pStyle w:val="Heading2"/>
      </w:pPr>
      <w:r>
        <w:t>Erwägungen</w:t>
      </w:r>
    </w:p>
    <w:p>
      <w:r>
        <w:rPr>
          <w:b/>
        </w:rPr>
        <w:t>E. 1</w:t>
      </w:r>
    </w:p>
    <w:p>
      <w:r>
        <w:t>Das Statthalteramt des Bezirks Horgen ordnete am 20. August 2014 die Beschlagnahme sämtlicher sich im Besitz von A.________ befindlichen Waffen an. Am 9. Juli 2015 sodann verfügte es die definitive Einziehung der insgesamt sieben beschlagnahmten Waffen und ordnete an, dass diese zum Verkauf angeboten würden. Der gegen diese Verfügung erhobene Rekurs an den Regierungsrat des Kantons Zürich blieb erfolglos. Mit Urteil vom 11. Februar 2016 wies das Verwaltungsgericht des Kantons Zürich die gegen den regierungsrätlichen Rekursentscheid erhobene Beschwerde ab. Mit als Beschwerde in öffentlich-rechtlichen Angelegenheiten zu betrachtender Eingabe vom 26. Februar 2016 beantragt A.________ dem Bundesgericht, das Urteil des Verwaltungsgerichts sei aufzuheben und als falsch und verleumderische Willkür zu bezeichnen.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Das Verwaltungsgericht schildert die tatsächlichen Umstände, die zur Beschlagnahmung und danach zur definitiven Einziehung der Waffen geführt haben. Weder lässt sich der vom Beschwerdeführer in seiner Eingabe vom 26. Februar 2016 geäusserten Kritik entnehmen, inwiefern das Verwaltungsgericht den Sachverhalt offensichtlich unzutreffend erfasst habe, noch wird damit aufgezeigt, dass bzw. inwiefern das einschlägige Recht, namentlich Art. 31 Abs. 3 in Verbindung mit Abs. 1 und Art. 8 Abs. 2 des Bundesgesetzes vom 20. Juni 1997 über Waffen, Waffenzubehör und Munition (Waffengesetz, WG; SR 514.54) falsch angewendet oder sonstwie schweizerisches Recht verletzt worden wäre. Die Beschwerde enthält offensichtlich keine hinreichende Begründung, und es ist darauf mit Entscheid des Abteilungspräsidenten als Einzelrichter im vereinfachten Verfahren nach Art. 108 BGG nicht einzutreten. Beizufügen ist, dass nicht erkennbar ist, inwiefern sich das angefochtene Urteil mit hinreichenden Rügen erfolgversprechend anfechten liesse. Gerichtskosten sind unter dem Umständen des Falle nicht zu erheben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