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2C_191/2015 vom 12. Juni 2015</w:t>
      </w:r>
    </w:p>
    <w:p>
      <w:r>
        <w:t>Bundesgericht, 2015-06-12, FR</w:t>
      </w:r>
    </w:p>
    <w:p>
      <w:r>
        <w:rPr>
          <w:b/>
        </w:rPr>
        <w:t xml:space="preserve">Quelle: </w:t>
      </w:r>
      <w:r>
        <w:t>https://mcp.opencaselaw.ch/entscheid/bger_2C_191_2015</w:t>
      </w:r>
    </w:p>
    <w:p>
      <w:r>
        <w:t>FR: TF 2C_191/2015 du 12 juin 2015</w:t>
      </w:r>
    </w:p>
    <w:p>
      <w:r>
        <w:t>IT: TF 2C_191/2015 del 12 giugno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w:t>
      </w:r>
    </w:p>
    <w:p>
      <w:r>
        <w:t>En outre, en sa qualité de ressortissant français, le recourant peut également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s.; 129 II 249 consid. 4 p. 258 ss). La présente cause ne tombe ainsi pas sous le coup de l' art. 83 let . c ch. 2 LTF, ni d'aucune autre clause d'irrecevabilité figurant à l' art. 83 LTF . Partant, la voie du recours en matière de droit public est ouverte.</w:t>
      </w:r>
    </w:p>
    <w:p>
      <w:r>
        <w:rPr>
          <w:b/>
        </w:rPr>
        <w:t>E. 1.2</w:t>
      </w:r>
    </w:p>
    <w:p>
      <w:r>
        <w:t>Conformément à l'art. 5 de la loi vaudoise d'application dans le Canton de Vaud de la législation fédérale sur les étrangers du 18 décembre 2007 (LVLEtr/VD; RSV 142.11), c'est le Chef du département qui est compétent pour statuer sur la révocation d'une autorisation d'établissement prononcée sur la base de l'art. 63 LEtr (RS 142.20). Par conséquent, le Service de la population du canton de Vaud n'étant pas compétent en la matière, la conclusion subsidiaire du recourant tendant au renvoi de la cause à ce Service pour que celui-ci rende une nouvelle décision dans le sens des considérants doit être déclarée irrecevable.</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En l'occurrence, dans un chapitre intitulé "FAITS", le recourant explique se rapporter aux faits constatés par l'autorité précédente dans son arrêt, sous réserve des omissions et inexactitudes mises en évidence dans le recours. Il n'expose toutefois pas en quoi les conditions de l' art. 97 al. 1 LTF seraient réunies et ne motive pas son éventuel grief conformément à l' art. 106 al. 2 LTF . Il se contente de substituer ses vision et appréciation des faits à celles retenues par le Tribunal cantonal, notamment en relation avec une prétendue absence de perception d'indemnités de l'assistance sociale. Un tel mode de faire étant inadmissible, le Tribunal fédéral vérifiera la correcte application du droit sur la seule base des faits retenus par l'instance précédente.</w:t>
      </w:r>
    </w:p>
    <w:p>
      <w:r>
        <w:rPr>
          <w:b/>
        </w:rPr>
        <w:t>E. 3</w:t>
      </w:r>
    </w:p>
    <w:p>
      <w:r>
        <w:t>Le litige porte sur le point de savoir si, compte tenu des condamnations pénales que le recourant a subies à partir de 1999, la révocation de l'autorisation d'établissement est conforme au droit. Le recourant conteste en substance l'existence d'un risque de récidive caractérisé et se prévaut d'un cadre de vie stabilisé, de son long séjour en Suisse, de sa situation professionnelle stable ainsi que des répercussions d'un retour forcé en France sur sa vie privée et familiale.</w:t>
      </w:r>
    </w:p>
    <w:p>
      <w:r>
        <w:rPr>
          <w:b/>
        </w:rPr>
        <w:t>E. 4.1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4.2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4.3</w:t>
      </w:r>
    </w:p>
    <w:p>
      <w:r>
        <w:t>Comme l'ensemble des droits octroyés par l'ALCP, le droit de demeurer en Suisse ne peut être limité que par des mesures d'ordre ou de sécurité publics, au sens de l' art. 5 al. 1 annexe I ALCP (cf. ATF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 ATF 139 II 121 consid. 5.3 p. 125 s. et les références citées).</w:t>
      </w:r>
    </w:p>
    <w:p>
      <w:r>
        <w:rPr>
          <w:b/>
        </w:rPr>
        <w:t>E. 4.4</w:t>
      </w:r>
    </w:p>
    <w:p>
      <w:r>
        <w:t>L' 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5</w:t>
      </w:r>
    </w:p>
    <w:p>
      <w:r>
        <w:t>Il n'est pas contesté que le recourant remplit, de par sa condamnation du 19 mars 2009 à deux ans de peine privative de liberté, le motif permettant de révoquer son autorisation d'établissement, au sens des art. 62 let. b LEtr, par renvoi de l'art. 63 al. 1 let. a LEtr, et 63 al. 2 LEtr. Savoir s'il remplit en plus les conditions de l'art. 63 al. 1 let. b LEtr n'est pas pertinent.</w:t>
      </w:r>
    </w:p>
    <w:p>
      <w:r>
        <w:rPr>
          <w:b/>
        </w:rPr>
        <w:t>E. 6.1</w:t>
      </w:r>
    </w:p>
    <w:p>
      <w:r>
        <w:t>Le recourant conteste l'existence d'un risque de récidive et invoque une violation de l' art. 5 al. 1 annexe I ALCP . Selon lui, le Tribunal cantonal aurait dû prendre en compte l'ensemble des circonstances et en particulier le fait qu'il a toujours admis et assumé les faits pour lesquels il a été condamné. Il affirme présenter un profil de jeune homme commettant des infractions essentiellement en raison des difficultés qu'il a rencontrées à une époque de sa vie, et notamment de ses mauvaises fréquentations. Il explique avoir principalement commis des infractions relevant de la circulation routière et de la LStup (RS 812.121), mais dans ce dernier cas uniquement pour sa consommation personnelle passée. Au surplus, il relève apprécier les travaux temporaires. Il se plaint par conséquent d'une violation des art. 8 par. 2 CEDH et 96 LEtr.</w:t>
      </w:r>
    </w:p>
    <w:p>
      <w:r>
        <w:rPr>
          <w:b/>
        </w:rPr>
        <w:t>E. 6.2</w:t>
      </w:r>
    </w:p>
    <w:p>
      <w:r>
        <w:t>On peut ici en premier lieu rappeler que l'examen de la proportionnalité sous l'angle de l' art. 8 par. 2 CEDH se confond avec celui imposé par les art. 5 al. 2 Cst. et 96 LEtr (arrêts 2C_419/2014 du 13 janvier 2015 consid. 4.3; 2C_1125/2012 du 5 novembre 2013 consid. 3.1).</w:t>
      </w:r>
    </w:p>
    <w:p>
      <w:r>
        <w:rPr>
          <w:b/>
        </w:rPr>
        <w:t>E. 6.3</w:t>
      </w:r>
    </w:p>
    <w:p>
      <w:r>
        <w:t>Sans en déduire expressément un droit, le recourant fait référence à l'art. 3 al. 1 de la Convention du 20 novembre 1989 relative aux droits de l'enfant (ci-après: CDE; RS 0.107). La CDE n'accorde ni à l'enfant ni à ses parents un droit à la réunion de la famille ou une prétention directe à l'obtention d'une autorisation de séjour (cf. ATF 136 I 285 consid. 5.2 p. 287; 135 I 153 consid. 2.2.2 p. 157 s.). Au demeurant, les griefs qui, comme en l'espèce, tendent à reprocher à l'autorité précédente de n'avoir pas suffisamment pris en considération les intérêts de l'enfant, reviennent à se plaindre d'une mauvaise pesée des intérêts en présence et se confondent par conséquent avec les moyens tirés de la violation de l' art. 8 par. 2 CEDH ( ATF 136 I 285 consid. 5.2 p. 287).</w:t>
      </w:r>
    </w:p>
    <w:p>
      <w:r>
        <w:rPr>
          <w:b/>
        </w:rPr>
        <w:t>E. 6.4</w:t>
      </w:r>
    </w:p>
    <w:p>
      <w:r>
        <w:t>L'autorité précédente a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l'âge d'arrivée du recourant en Suisse, l'activité délictueuse qu'il y a déployée,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le fait qu'il exécute actuellement sa peine ainsi que sa situation financière. Le Tribunal cantonal a finalement encore notamment tenu compte de la durée et la qualité du séjour légal en Suisse, des conséquences pour l'intéressé, sa compagne et sa fille mineure d'un départ de Suisse et des possibilités d'intégration à l'étranger, du fait que sa compagne et sa fille ne l'aient pas empêché de poursuivre ses activités délictueuses ou encore de la possibilité des concubins de conserver des liens en dépit de l'éloignement. Intégrant l'ensemble de ces circonstances, le Tribunal cantonal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de sa concubine et de sa fille à pouvoir y vivre ensemble. Le résultat de la pesée des intérêts ainsi effectuée est correct.</w:t>
      </w:r>
    </w:p>
    <w:p>
      <w:r>
        <w:t>Le recourant explique encore que l'autorité semble oublier que l'essentiel des faits qui lui sont reprochés au-delà de sa majorité relèvent de la circulation routière et qu'à aucun moment il ne lui est fait le reproche d'avoir atteint l'intégrité corporelle de tiers. En cherchant à circonscrire ses actes délictueux à des infractions à la loi fédérale du 19 décembre 1958 sur la circulation routière (LCR; RS 741.01), le recourant semble méconnaître la dangerosité des violations des règles de la circulation pour les autres usagers de la route. De plus, il ne faut pas perdre de vue que ses plus lourdes condamnations concernaient d'autres actes, dont notamment un incendie intentionnel ayant mis en danger la vie de tiers. Finalement, on relèvera encore que la dernière des dix condamnations du recourant constituait la deuxième plus importante. Cela confirme ainsi qu'il ne s'est aucunement amendé et que c'est à juste titre que le Tribunal cantonal a relevé que le recourant faisait preuve d'une indifférence envers l'ordre juridique suisse.</w:t>
      </w:r>
    </w:p>
    <w:p>
      <w:r>
        <w:rPr>
          <w:b/>
        </w:rPr>
        <w:t>E. 7</w:t>
      </w:r>
    </w:p>
    <w:p>
      <w:r>
        <w:t>Les considérants qui précèdent conduisent au rejet du recours, dans dans la mesure où il est recevable. Le recours étant d'emblée dénué de chance de succès, la demande d'assistance judiciaire est rejetée ( art. 64 al. 1 LTF ).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