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18/2018 vom 18. Juni 2018</w:t>
      </w:r>
    </w:p>
    <w:p>
      <w:r>
        <w:t>Bundesgericht, 2018-06-18, FR</w:t>
      </w:r>
    </w:p>
    <w:p>
      <w:r>
        <w:rPr>
          <w:b/>
        </w:rPr>
        <w:t xml:space="preserve">Quelle: </w:t>
      </w:r>
      <w:r>
        <w:t>https://mcp.opencaselaw.ch/entscheid/bger_2C_18_2018</w:t>
      </w:r>
    </w:p>
    <w:p>
      <w:r>
        <w:t>FR: TF 2C 18/2018 du 18 juin 2018</w:t>
      </w:r>
    </w:p>
    <w:p>
      <w:r>
        <w:t>IT: TF 2C 18/2018 del 18 giugno 2018</w:t>
      </w:r>
    </w:p>
    <w:p>
      <w:pPr>
        <w:pStyle w:val="Heading2"/>
      </w:pPr>
      <w:r>
        <w:t>Regeste</w:t>
      </w:r>
    </w:p>
    <w:p>
      <w:r>
        <w:t>Impôt fédéral direct, cantonal et communal de la période fiscale 2014, activité lucrative indépendante, commerce professionnel d'immeubles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la partie recourante s'en prend aux deux catégories d'impôts (cf. ATF 135 II 260 ss), ce qui est le cas en l'espèce.</w:t>
      </w:r>
    </w:p>
    <w:p>
      <w:r>
        <w:rPr>
          <w:b/>
        </w:rPr>
        <w:t>E. 2.1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2.2</w:t>
      </w:r>
    </w:p>
    <w:p>
      <w:r>
        <w:t>Les recourants notent qu'il ressort certes de l'arrêt attaqué que le bien-fonds n° **** de la commune de Y.________ a été acquis le 8 février 2011 dans le but d'y construire des locaux destinés à être loués par le Bureau X.________ SA et que, par contrat du 24 mai 2012, la société a acquis le bien-fonds n° **** du cadastre de Neuchâtel et y a installé ses bureaux. Ils soulignent qu'en revanche, il n'en ressort pas que le besoin en locaux de la société était urgent et impératif en raison des locaux devenus trop exigus et inadaptés au développement fulgurant de la société ni que c'est plusieurs mois après l'acquisition du terrain à Y.________ que B.X.________ a eu connaissance de locaux se libérant susceptibles d'accueillir rapidement la société car ils avaient une surface de 343 m2. Ils sont d'avis que l'exiguïté, le caractère inadapté des anciens locaux et le besoin urgent de nouveaux en résultant à cette période ainsi que la découverte ultérieure à l'acquisition du terrain de Y.________ sont des éléments fondamentaux pour démontrer l'absence de manière de procéder systématique et planifiée. Les recourants démontrent que ces faits ont été dûment allégués en procédure de recours devant l'instance précédente et qu'ils ont au surplus été retenus par l'autorité intimée dans la décision sur réclamation du 24 octobre 2016 à laquelle ils renvoient. Il convient donc d'admettre leur grief et de compléter l'état de fait de l'arrêt attaqué en y ajoutant que, compte tenu du développement important de la société et de l'engagement de nouveaux collaborateurs, les bureaux de C.________ sont devenus trop exigus, de sorte que B.X.________ s'est mis à la recherche d'un bâtiment plus spacieux et qu'au mois de mars 2012, B.X.________ a eu connaissance de locaux qui se libéraient à Neuchâtel, qui étaient déjà construits et avaient l'avantage de pouvoir accueillir rapidement les collaborateurs de la société .</w:t>
      </w:r>
    </w:p>
    <w:p>
      <w:r>
        <w:rPr>
          <w:b/>
        </w:rPr>
        <w:t>E. 2.3</w:t>
      </w:r>
    </w:p>
    <w:p>
      <w:r>
        <w:t>Les recourants sont d'avis que le simple constat de l'instance précédente selon lequel [ils] "ont déposé une demande de permis de construire pour réalisation d'un immeuble résidentiel et de bureau avec 26 places de places de parcs" est incomplet car il ne mentionne pas la date du dépôt de la demande ni la date de l'octroi du permis de construire. Ce grief est rejeté. Il ressort en effet du considérant 4b de l'arrêt attaqué que " si B.X.________ et A.X.________ avaient, dans un premier temps, pour but d'intégrer des locaux pour le compte du Bureau X.________ SA dans le projet immobilier [...], on doit néanmoins relever que lorsqu'ils ont déposé les plans modifiés du projet immobilier, ils n'avaient aucunement l'intention de se procurer un logement à des fins privées... " et de la phrase suivante, qu' " on ne saurait toutefois perdre de vue qu'avant même l'octroi du permis de construire, les époux ont constitué une PPE afin de faciliter les ventes par la suite. " Il apparaît ainsi sans ambiguïté que, pour l'instance précédente, la constitution de la propriété par étage a eu lieu le 6 septembre 2012 avant l'acceptation, le 10 octobre 2012, de la modification du permis de construire des appartements uniquement, ce qui ressort au surplus expressément du considérant 4a de l'arrêt attaqué.</w:t>
      </w:r>
    </w:p>
    <w:p>
      <w:r>
        <w:rPr>
          <w:b/>
        </w:rPr>
        <w:t>E. 2.4</w:t>
      </w:r>
    </w:p>
    <w:p>
      <w:r>
        <w:t>Les recourants soutiennent que l'instance précédente n'a pas constaté que A.X.________ est psychiatre ni ce qu'était l'activité habituelle d'un ingénieur civil, qui serait différente de celle d'un architecte ou d'un promoteur-entrepreneur. Le complètement de ces lacunes aurait une influence sur l'existence d'indices relatifs à l'activité de commerce professionnel d'immeubles. En tant qu'ils visent l'établissement des faits, ces griefs sont rejetés. L'instance précédente n'a pas attribué à A.X.________ une profession en relation avec le domaine de la construction et de la promotion immobilière et l'activité habituelle d'ingénieur civil n'a pas fait l'objet d'une description erronée. Il n'est pas contesté que c'est uniquement la société qui a obtenu, pour 30'000 fr., le mandat d'ingénierie civil dans la construction en cause. L'influence de la profession du recourant sur la sort de la cause est en revanche une question de droit qui sera examinée ci-dessous. I.       Impôt fédéral direct</w:t>
      </w:r>
    </w:p>
    <w:p>
      <w:r>
        <w:rPr>
          <w:b/>
        </w:rPr>
        <w:t>E. 3.1</w:t>
      </w:r>
    </w:p>
    <w:p>
      <w:r>
        <w:t>Selon la jurisprudence, la notion d'activité indépendante de l' art. 18 LIFD doit être comprise dans un sens large, de sorte que les bénéfices provenant d'une activité dépassant la simple administration de la fortune privée sont considérés comme un revenu imposable d'une activité lucrative indépendante et que les éléments patrimoniaux utilisés pour cette activité sont qualifiés d'actifs commerciaux, même s'il n'y a pas d'activité organisée sous la forme d'une entreprise ( ATF 125 II 113 consid. 5b, 5d et 5e p. 122 ss). Ainsi, le commerce d'immeubles doit être qualifié d'activité lucrative indépendante au sens de l' art. 18 al. 1 LIFD et entraîne l'imposition comme revenu du bénéfice en capital lorsque le bien aliéné fait partie du patrimoine commercial (arrêts 2C_1081/2013 du 2 juin 2014 consid. 5.3 in Archives 83 65 ;2 2 C_349/2009 du 16 novembre 2009 consid. 4.1.2). En matière d'aliénation d'immeubles, sont notamment des indices en faveur d'une activité excédant la simple administration de la fortune privée, le caractère systématique ou planifié des démarches effectuées, la fréquence des opérations immobilières, le rapport étroit entre l'opération réalisée et l'activité professionnelle du contribuable, le recours à des connaissances spéciales, la durée de possession, la proportion des fonds étrangers investis dans l'opération, ainsi que le réinvestissement des produits de la vente dans de nouvelles acquisitions immobilières. Ces indices peuvent, considérés dans leur ensemble ou même isolément selon les circonstances, conduire à admettre l'existence d'une activité lucrative au sens de l' art. 18 LIFD (cf. ATF 125 II 113 consid. 6a p. 124).</w:t>
      </w:r>
    </w:p>
    <w:p>
      <w:r>
        <w:rPr>
          <w:b/>
        </w:rPr>
        <w:t>E. 3.2</w:t>
      </w:r>
    </w:p>
    <w:p>
      <w:r>
        <w:t>En l'espèce, nombre d'indices conduisent à confirmer que la vente des parts de propriété par étage de l'immeuble situé sur l'art. **** du cadastre de Y.________ a revêtu un caractère professionnel et généré un revenu d'activité indépendante de commerçant d'immeubles dans le chapitre des recourants pour la période fiscale 2014. Les recourants ont certes, dans un premier temps, acquis, au moyen de 330'000 fr. de fonds propres provenant d'une avance d'hoirie accordée à la recourante par ses parents, un terrain à Y.________ en vue de construite un immeuble pouvant abriter les bureaux de la société, dont le développement fulgurant nécessitait impérativement un déménagement dans des locaux plus spacieux que ceux trop exigus et inadaptés occupés jusqu'alors. Il n'est pas contesté non plus que le projet initial a été rendu inutile de manière parfaitement fortuite par la disponibilité immédiate de locaux en ville de Neuchâtel et leur achat par la société elle-même dans la foulée. Il n'en demeure pas moins que la promotion immobilière mise en place par les recourants après l'achat des locaux sis à Neuchâtel, en lieu et place d'une simple revente de la parcelle devenue inutile au développement de la société, a pris une ampleur et nécessité une planification qui dépassent la simple gestion du patrimoine privé. Cela résulte en premier lieu de l'importance du montant investi par les recourants de 5 millions de francs par rapport au 330'000 fr. initiaux de capitaux propres, ce qui porte à plus de 90% la part de fonds étrangers. A cela s'ajoute qu'avant même d'obtenir l'autorisation de construire le projet modifié, les recourants ont d'emblée procédé à la constitution de propriétés par étage en vue d'en faciliter la vente future (arrêt 2C_550/2016 du 8 mars 2017 consid. 3.2), sans du reste avoir jamais allégué vouloir y installer leur domicile privé. Enfin, dernier indice majeur relevé à juste titre par l'instance précédente, le recourant exerce la profession d'ingénieur civil. Quoi qu'en pensent les recourants, cette profession confère à celui qui l'exerce - puisqu'il oeuvre dans le domaine de la construction - non seulement des connaissances spéciales qui ne doivent pas nécessairement être celles de l'architecte, avec qui, au demeurant, il travaille en étroite collaboration, mais aussi les contacts nécessaires à la réalisation d'un projet immobilier d'une telle envergure. Il n'importe pas à cet égard que la recourante exerce la profession de psychiatre, du moment que les revenus des époux qui vivent en ménage commun sont additionnés ( art. 9 al. 1 LIFD ) et qu'il suffit par conséquent que l'un des deux dispose de connaissances particulières dans le domaine immobilier. En jugeant que les recourants ont obtenu un revenu provenant de d'une activité accessoire indépendante de commerçants d'immeubles, l'instance précédente a correctement appliqué le droit fédéral. Le recours est donc rejeté en matière d'impôt fédéral direct. II.       Impôt cantonal et communal</w:t>
      </w:r>
    </w:p>
    <w:p>
      <w:r>
        <w:rPr>
          <w:b/>
        </w:rPr>
        <w:t>E. 4</w:t>
      </w:r>
    </w:p>
    <w:p>
      <w:r>
        <w:t>L'impôt sur le revenu a pour objet tous les revenus du contribuable, qu'ils soient uniques ou périodiques, provenant de l'activité lucrative indépendante ( art. 7 al. 1 LHID ), parmi lesquels figurent, aux termes de l' art. 8 al. 1 LHID , tous les bénéfices en capital provenant de l'aliénation, de la réalisation ou de la réévaluation comptable ou du transfert dans la fortune privée d'éléments de la fortune commerciale, tandis qu'en vertu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Le revenu et la fortune des époux qui vivent en ménage commun s'additionnent, quel que soit le régime matrimonial ( art. 3 al. 3 LHID ). Il s'ensuit que les motifs qui ont conduit au rejet du recours en matière d'impôt fédéral direct s'appliquent également en matière d'impôt cantonal et communal, tant en ce qui concerne la qualification de l'activité immobilière. Les griefs des recourants doivent être écartés. Le recours est donc rejeté en matière d'impôt cantonal et communal.</w:t>
      </w:r>
    </w:p>
    <w:p>
      <w:r>
        <w:rPr>
          <w:b/>
        </w:rPr>
        <w:t>E. 5</w:t>
      </w:r>
    </w:p>
    <w:p>
      <w:r>
        <w:t>Les considérants qui précèdent conduisent au rejet du recours en matière de droit public.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