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2C_18/2012 vom 17. Oktober 2012</w:t>
      </w:r>
    </w:p>
    <w:p>
      <w:r>
        <w:t>Bundesgericht, 2012-10-17, FR</w:t>
      </w:r>
    </w:p>
    <w:p>
      <w:r>
        <w:rPr>
          <w:b/>
        </w:rPr>
        <w:t xml:space="preserve">Quelle: </w:t>
      </w:r>
      <w:r>
        <w:t>https://mcp.opencaselaw.ch/entscheid/bger_2C_18_2012</w:t>
      </w:r>
    </w:p>
    <w:p>
      <w:r>
        <w:t>FR: TF 2C_18/2012 du 17 octobre 2012</w:t>
      </w:r>
    </w:p>
    <w:p>
      <w:r>
        <w:t>IT: TF 2C_18/2012 del 17 ottobre 2012</w:t>
      </w:r>
    </w:p>
    <w:p>
      <w:pPr>
        <w:pStyle w:val="Heading2"/>
      </w:pPr>
      <w:r>
        <w:t>Erwägungen</w:t>
      </w:r>
    </w:p>
    <w:p>
      <w:r>
        <w:rPr>
          <w:b/>
        </w:rPr>
        <w:t>E. 1.1</w:t>
      </w:r>
    </w:p>
    <w:p>
      <w:r>
        <w:t>Le recours portant sur un jugement rendu dans une cause de droit public (cf. art. 82 let. a LTF ), qui ne tombe sous le coup d'aucune des clauses de l' art. 83 LTF , la voie du recours en matière de droit public est ouverte. Partant, le recours ne peut être reçu comme recours constitutionnel subsidiaire (cf. art. 113 LTF ).</w:t>
      </w:r>
    </w:p>
    <w:p>
      <w:r>
        <w:t>Au surplus, le recours est dirigé contre un jugement final (cf. art. 90 LTF ) rendu par un tribunal supérieur statuant en dernière instance cantonale (cf. art. 86 al. 1 let . d et al. 2 LTF). Il a été interjeté par le destinataire du prononcé attaqué, qui a un intérêt digne de protection à son annulation ou à sa modification (cf. art. 89 al. 1 LTF ). Déposé dans le délai prévu par la loi (cf. art. 46 al. 1 let . c et art. 100 al. 1 LTF ), le recours est en principe recevable comme recours en matière de droit public.</w:t>
      </w:r>
    </w:p>
    <w:p>
      <w:r>
        <w:rPr>
          <w:b/>
        </w:rPr>
        <w:t>E. 1.2</w:t>
      </w:r>
    </w:p>
    <w:p>
      <w:r>
        <w:t>Dans la mesure où le recourant s'en prend aussi aux décisions des autorités ayant précédé le Tribunal cantonal, son acte est irrecevable en raison de l'effet dévolutif du recours interjeté devant cette dernière juridiction (cf. ATF 136 II 539 consid. 1.2 p. 543).</w:t>
      </w:r>
    </w:p>
    <w:p>
      <w:r>
        <w:rPr>
          <w:b/>
        </w:rPr>
        <w:t>E. 1.3</w:t>
      </w:r>
    </w:p>
    <w:p>
      <w:r>
        <w:t>Aux termes de l' art. 42 al. 1 LTF , le mémoire de recours doit contenir les conclusions et les motifs à l'appui de celles-ci. La motivation doit exposer succinctement en quoi l'acte attaqué viole le droit ( art. 42 al. 2 LTF ). Pour satisfaire à cette exigence, le recourant doit discuter les motifs de la décision entreprise et indiquer précisément en quoi il estime que l'autorité précédente a méconnu le droit (cf. ATF 133 IV 119 consid. 6.3 p. 120 s., 286 consid. 1.4 p. 287).</w:t>
      </w:r>
    </w:p>
    <w:p>
      <w:r>
        <w:rPr>
          <w:b/>
        </w:rPr>
        <w:t>E. 1.4</w:t>
      </w:r>
    </w:p>
    <w:p>
      <w:r>
        <w:t>Sauf exceptions (cf. art. 95 let . c, d et e LTF), la violation du droit cantonal et (inter-) communal ne constitue pas un motif de recours au Tribunal fédéral ( art. 95 LTF a contrario; arrêt 2C_116/2011 du 29 août 2011 consid.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w:t>
      </w:r>
    </w:p>
    <w:p>
      <w:r>
        <w:rPr>
          <w:b/>
        </w:rPr>
        <w:t>E. 1.5</w:t>
      </w:r>
    </w:p>
    <w:p>
      <w:r>
        <w:t>Le Tribunal fédéral statue en principe sur la base des faits établis par l'autorité précédente, sauf si ceux-ci ont été retenus de façon manifestement inexacte - ce qui correspond à la notion d'arbitraire ( ATF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 ATF 137 II 353 consid. 5.1 p. 356 et les arrêts cités). Par ailleurs, l' art. 99 LTF dispose qu'aucun fait nouveau ni preuve nouvelle ne peut être présenté, à moins de résulter de la décision de l'autorité précédente (al. 1).</w:t>
      </w:r>
    </w:p>
    <w:p>
      <w:r>
        <w:rPr>
          <w:b/>
        </w:rPr>
        <w:t>E. 2</w:t>
      </w:r>
    </w:p>
    <w:p>
      <w:r>
        <w:t>Le recourant fait valoir que l'obligation de conduire lui-même son véhicule au minimum 120 heures par mois, dont la violation a été sanctionnée par l'avertissement litigieux, serait dépourvue de base légale et réglementaire.</w:t>
      </w:r>
    </w:p>
    <w:p>
      <w:r>
        <w:rPr>
          <w:b/>
        </w:rPr>
        <w:t>E. 2.1</w:t>
      </w:r>
    </w:p>
    <w:p>
      <w:r>
        <w:t>Hormis en matière pénale et dans le domaine fiscal, le principe de la légalité ( art. 5 al. 1 Cst. ) ne constitue pas un droit constitutionnel spécifique, mais un principe constitutionnel ( ATF 136 I 241 consid. 2.5 p. 249). Comme le principe de la proportionnalité de l' art. 5 al. 2 Cst. (voir à ce sujet ATF 134 I 153 consid. 4.1 p. 156 s. et les références), il peut être invoqué dans le cadre d'un recours en matière de droit public directement et indépendamment d'un droit fondamental (arrêt 2C_268/2010 du 18 juin 2010 consid. 2.2). Lorsque le recourant s'en prévaut en relation avec le droit cantonal, le Tribunal fédéral limite en principe, sous réserve des restrictions aux droits fondamentaux ( art. 36 al. 3 Cst. ), son examen à l'arbitraire (arrêts 2C_741/2009 du 26 avril 2010 consid. 3.1; 2C_580/2010 du 12 janvier 2011 consid. 4.2). Il n'intervient alors que si le principe de la légalité est manifestement violé. Il en va de même lorsque le principe de la légalité est invoqué en relation avec le droit (inter-) communal.</w:t>
      </w:r>
    </w:p>
    <w:p>
      <w:r>
        <w:rPr>
          <w:b/>
        </w:rPr>
        <w:t>E. 2.2</w:t>
      </w:r>
    </w:p>
    <w:p>
      <w:r>
        <w:t>D'après l'art. 10 RIT, la Commission administrative est compétente pour accorder ou refuser une autorisation du type A (let. c). Intitulé "Conditions à l'octroi et au renouvellement d'autorisations A", l'art. 18 al. 1 PARIT a la teneur suivante:</w:t>
      </w:r>
    </w:p>
    <w:p>
      <w:r>
        <w:t>"La Commission administrative peut assortir l'octroi ou le renouvellement des autorisations A de conditions. Elle pourra notamment fixer certaines heures ou certains jours pendant lesquels le titulaire devra obligatoirement mettre son taxi à la disposition du public."</w:t>
      </w:r>
    </w:p>
    <w:p>
      <w:r>
        <w:t>En l'occurrence, la Commission administrative a fait dépendre l'octroi au recourant d'une autorisation de type A - par transfert de celle de son père - de la condition que celui-ci conduise lui-même le véhicule utilisé comme taxi au minimum 120 heures par mois.</w:t>
      </w:r>
    </w:p>
    <w:p>
      <w:r>
        <w:t>Dans la mesure où une base légale et/ou réglementaire est nécessaire (cf. à ce sujet Pierre Moor, Droit administratif, vol. III, 1992, p. 303 s.), la condition en question peut ainsi s'appuyer sur les dispositions précitées. Le fait que l'art. 18 al. 1 PARIT, qui cite un autre genre de condition, sans être exhaustif (cf. "notamment"), ne mentionne pas expressément celle en cause ne saurait en tout cas constituer une violation manifeste de l'exigence de base réglementaire (ni de celle de la densité normative). La renonciation à une énumération exhaustive des conditions peut en effet se justifier, entre autres motifs, par la difficulté sinon l'impossibilité de prévoir toutes les situations pouvant se présenter. La marge de manoeuvre de l'autorité dans le choix des conditions n'en est pas moins limitée - et la protection des intéressés assurée -, dans la mesure où lesdites conditions doivent être conformes au droit constitutionnel, notamment aux principes de proportionnalité et d'égalité, ainsi qu'à l'interdiction de l'arbitraire. Or, en l'occurrence, le recourant ne soulève aucun grief d'ordre constitutionnel - hormis celui de violation du principe de la légalité - en relation avec la condition litigieuse.</w:t>
      </w:r>
    </w:p>
    <w:p>
      <w:r>
        <w:t>Le grief de violation du principe de la légalité est mal fondé au vu de ce qui précède.</w:t>
      </w:r>
    </w:p>
    <w:p>
      <w:r>
        <w:rPr>
          <w:b/>
        </w:rPr>
        <w:t>E. 3</w:t>
      </w:r>
    </w:p>
    <w:p>
      <w:r>
        <w:t>Le recourant invoque ses problèmes de santé. Ce faisant, il allègue des faits qui ne ressortent pas de la décision entreprise (la Dresse Y.________ aurait transmis son certificat daté du 10 novembre 2008 le même jour au Service intercommunal des taxis; le recourant aurait adressé d'autres certificats à l'autorité intercommunale à partir de 2008, etc.), sans pour autant exposer, de manière conforme aux exigences rappelées ci-dessus (consid. 1.5), que l'état de fait retenu dans cette dernière serait manifestement inexact. Les faits en question ne peuvent, partant, être pris en considération. Au surplus, l'autorité précédente a amplement exposé en quoi l'avertissement litigieux se justifiait en dépit de ces problèmes de santé. Le recourant ne discute pas la décision entreprise sur ce point, de sorte que son acte est irrecevable à cet égard.</w:t>
      </w:r>
    </w:p>
    <w:p>
      <w:r>
        <w:rPr>
          <w:b/>
        </w:rPr>
        <w:t>E. 4</w:t>
      </w:r>
    </w:p>
    <w:p>
      <w:r>
        <w:t>Le recourant soutient que la transmission par le central d'appel des taxis au Service intercommunal des taxis des données collectées grâce à l'utilisation du système de géolocalisation par satellite (GPS) viole l'art. 15 de la Constitution du canton de Vaud du 14 avril 2003 (RS/VD 101.01), disposition qui protège la sphère privée et les données personnelles.</w:t>
      </w:r>
    </w:p>
    <w:p>
      <w:r>
        <w:t>L'autorité précédente a examiné la question de l'admissibilité de la transmission des données en question au regard des art. 10 et 13 de la Constitution fédérale. Elle s'est référée au règlement intercommunal sur le central d'appel des taxis A (ci-après: RCAp), publié le 23 juin 2006, qui autorise la société concessionnaire à relever et à conserver, pendant six mois, certaines données informatiques concernant les conducteurs de taxi et à communiquer celles-ci aux autorités compétentes. Elle a renvoyé également à l'arrêt du Tribunal de céans du 29 août 2011 en la cause 2C_116-117-118/2011, d'où il ressort que la mesure de surveillance par GPS prévue par le RCAp ne viole pas les art. 10 et 13 Cst. (consid. 8).</w:t>
      </w:r>
    </w:p>
    <w:p>
      <w:r>
        <w:t>Le recourant n'allègue ni ne démontre que l' art. 15 Cst. VD aurait une portée plus large que l' art. 13 Cst. , de sorte que le grief soulevé doit être examiné exclusivement à la lumière de cette dernière disposition. Or, le recourant ne discute nullement la motivation y relative contenue dans la décision attaquée et résumée ci-dessus. Son acte est donc irrecevable sur ce point.</w:t>
      </w:r>
    </w:p>
    <w:p>
      <w:r>
        <w:t>Le recourant se prévaut encore d'autres dispositions de la Constitution vaudoise, qu'il énumère sans exposer en quoi consisterait leur violation. Une telle argumentation ne répond manifestement pas aux exigences de motivation qualifiées dont l' art. 106 al. 2 LTF fait dépendre l'examen par le Tribunal fédéral des griefs de nature constitutionnelle. Le recours est donc irrecevable à cet égard.</w:t>
      </w:r>
    </w:p>
    <w:p>
      <w:r>
        <w:rPr>
          <w:b/>
        </w:rPr>
        <w:t>E. 5</w:t>
      </w:r>
    </w:p>
    <w:p>
      <w:r>
        <w:t>Vu ce qui précède, le recours constitutionnel subsidiaire est irrecevable, alors que le recours en matière de droit public doit être rejeté dans la mesure où il est recevable.</w:t>
      </w:r>
    </w:p>
    <w:p>
      <w:r>
        <w:t>Succombant, le recourant doit supporter un émolument judiciaire (cf. art. 66 al. 1 LTF ). Il n'y a pas lieu d'allouer de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