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2C_18/2011 vom 31. Mai 2011</w:t>
      </w:r>
    </w:p>
    <w:p>
      <w:r>
        <w:t>Bundesgericht, 2011-05-31, FR</w:t>
      </w:r>
    </w:p>
    <w:p>
      <w:r>
        <w:rPr>
          <w:b/>
        </w:rPr>
        <w:t xml:space="preserve">Quelle: </w:t>
      </w:r>
      <w:r>
        <w:t>https://mcp.opencaselaw.ch/entscheid/bger_2C_18_2011</w:t>
      </w:r>
    </w:p>
    <w:p>
      <w:r>
        <w:t>FR: TF 2C_18/2011 du 31 mai 2011</w:t>
      </w:r>
    </w:p>
    <w:p>
      <w:r>
        <w:t>IT: TF 2C_18/2011 del 31 maggio 2011</w:t>
      </w:r>
    </w:p>
    <w:p>
      <w:pPr>
        <w:pStyle w:val="Heading2"/>
      </w:pPr>
      <w:r>
        <w:t>Erwägungen</w:t>
      </w:r>
    </w:p>
    <w:p>
      <w:r>
        <w:rPr>
          <w:b/>
        </w:rPr>
        <w:t>E. 1</w:t>
      </w:r>
    </w:p>
    <w:p>
      <w:r>
        <w:t>L'arrêt attaqué porte sur des montants comptabilisés à titre de charges et donc sur la détermination du bénéfice imposable. L'art. 24 al. 1 let. a de la loi fédérale du 14 décembre 1990 sur l'harmonisation des impôts directs des cantons et des communes (LHID ou la loi fédérale sur l'harmonisation; RS 642.14) traite du bénéfice net soumis à l'impôt sur le bénéfice qui comprend les charges non justifiées par l'usage commercial. Cette disposition figurant au titre 3 chapitre 2 de ladite loi, et le litige portant sur les périodes fiscales 2001 et 2002 ( ATF 123 II 588 consid. 2 p. 591), la voie du recours en matière de droit public est ouverte en vertu de l' art. 73 al. 1 LHID (sur le rapport entre cette disposition et la loi sur le Tribunal fédéral, cf. ATF 134 II 186 consid. 1.3 p. 189). Selon l' art. 57 bis LHID , cette voie est également ouverte en ce qui concerne l'amende infligée pour soustraction d'impôt.</w:t>
      </w:r>
    </w:p>
    <w:p>
      <w:r>
        <w:rPr>
          <w:b/>
        </w:rPr>
        <w:t>E. 2.1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Selon l' art. 106 al. 2 LTF , en revanche, le Tribunal fédéral n'examine la violation de dispositions de droit cantonal que si ces griefs ont été soulevés et motivés. Il en va de même lorsque les dispositions de la loi sur l'harmonisation fiscale laissent une certaine marge de manoeuvre aux cantons, l'examen de l'interprétation du droit cantonal étant alors limité à l'arbitraire ( ATF 134 II 207 consid. 2 p. 209 s.).</w:t>
      </w:r>
    </w:p>
    <w:p>
      <w:r>
        <w:rPr>
          <w:b/>
        </w:rPr>
        <w:t>E. 2.2</w:t>
      </w:r>
    </w:p>
    <w:p>
      <w:r>
        <w:t>Aux termes de l' art. 97 al. 1 LTF , le recourant ne peut critiquer les constatations des faits que si ceux-ci ont été établis de manière manifestement inexacte ou en violation du droit au sens de l' art. 95 LTF (cf. art. 105 al. 2 LTF qui autorise également le Tribunal fédéral à compléter ou rectifier d'office l'état de fait à ces conditions) et pour autant que la correction du vice soit susceptible d'influer sur le sort de la cause. Le grief tiré de la constatation manifestement inexacte d'un fait au sens de l' art. 97 al. 1 LTF revient à démontrer que celui-ci a été établi de manière arbitraire au sens de l' art. 9 Cst. ( ATF 136 II 447 consid. 2.1 p. 450). Le grief d'arbitraire dans l'appréciation des preuves et la constatation des faits doit être articulé conformément aux exigences de motivation accrues de l' art. 106 al. 2 LTF ( ATF 133 IV 286 consid. 1.4 p. 287). En particulier, le Tribunal fédéral n'entre pas en matière sur des critiques de type appellatoire portant sur l'état de fait ou sur l'appréciation des preuves ( ATF 136 II 101 consid. 3 p. 104; 135 III 397 consid 1.4 et 1.5 p. 400; 133 II 249 consid. 1.4 p. 254/255).</w:t>
      </w:r>
    </w:p>
    <w:p>
      <w:r>
        <w:t>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135 V 2 consid. 1.3 p. 4, 134 I 140 consid. 5.4 p. 145; 120 Ia 31 consid. 4b p. 40). Une jurisprudence constante reconnaît au juge du fait un large pouvoir d'appréciation en ce domaine ( ATF 120 Ia 31 consid. 4b p. 40 et les références citées).</w:t>
      </w:r>
    </w:p>
    <w:p>
      <w:r>
        <w:rPr>
          <w:b/>
        </w:rPr>
        <w:t>E. 3.1</w:t>
      </w:r>
    </w:p>
    <w:p>
      <w:r>
        <w:t>La recourante se plaint d'une constatation des faits et d'une appréciation des preuves arbitraires. Elle reproche à la Cour de justice d'avoir admis le bien-fondé du rappel d'impôt sans avoir défini le terme "franco arrivo" mentionné sur les factures de H.________ à son intention. Selon la recourante, ce terme signifierait que H.________ se chargeait du transport de la marchandise depuis son point de vente sur le marché de gros à Milan jusqu'au quai de chargement des camions, à l'extérieur de ce marché. Les factures de H.________ ne comprendraient donc pas les frais de transport jusqu'à Genève. Dès lors, les factures de F.________ AG à X.________ portant sur le transport des biens de Milan à Genève ne se recouperaient pas avec celles de H.________ et constitueraient des charges réelles.</w:t>
      </w:r>
    </w:p>
    <w:p>
      <w:r>
        <w:rPr>
          <w:b/>
        </w:rPr>
        <w:t>E. 3.2</w:t>
      </w:r>
    </w:p>
    <w:p>
      <w:r>
        <w:t>Il n'est pas certain que l'argumentation de la recourante soit recevable car elle apparaît comme étant essentiellement appellatoire. Cette question peut toutefois rester ouverte car le grief doit de toute façon être rejeté.</w:t>
      </w:r>
    </w:p>
    <w:p>
      <w:r>
        <w:t>Contrairement à ce qu'affirme la recourante, ce n'est pas, en réalité, la signification du terme "franco arrivo" qui pose problème. Cette clause contractuelle n'a pas une définition variable selon les contrats. Il s'agit, en effet, d'un Incoterm qui, comme le relève la recourante elle-même (recours p. 8), signifie que le vendeur assume les frais de transport de la livraison des biens et les risques y relatifs jusqu'à leur destination. En l'espèce, ces frais sont donc initialement à la charge de H.________ qui les facture par la suite à la recourante. Celle-ci prétend par contre que cette livraison "franco arrivo" ne se faisait que jusque sur le quai de chargement à Milan, alors que la Cour de Justice a retenu qu'elle se faisait jusqu'à Genève. L'intéressée se base pour cela sur une lettre de H.________. Cette lettre fait une distinction entre les termes "franco arrivo" et "franco destino". Le premier signifierait que les frais de livraison sont à la charge du vendeur jusqu'au quai de chargement sur le camion et le second jusqu'au domicile de l'acheteur. La recourante invoque encore le "Regolamento del Mercato Ortofrutticolo all'ingrosso di Milano". L'explication contenue dans la lettre de H.________ est confuse et peu convaincante. Ce d'autant plus que les termes "franco arrivo" et "franco destino" paraissent plutôt être des synonymes (cf. http://www.ilglossariodellalogistica.it). Quant au règlement susmentionné, il ne prouve en rien que, en l'espèce, la livraison "franco arrivo" était entendue uniquement jusqu'au quai de chargement des camions. Si tel était le cas, on ne s'explique alors pas pourquoi les factures de H.________ à X.________ indiquait, outre "Milano Ortomercato" comme lieu de départ de la marchandise, "Genève" comme destination et non les quais de chargement.</w:t>
      </w:r>
    </w:p>
    <w:p>
      <w:r>
        <w:t>Sans compter que les factures de H.________ sont libellées en francs suisses. Or, on ne voit pas pour quelle raison, un commerçant italien qui livrerait sa marchandise en Italie établirait ses factures dans cette monnaie.</w:t>
      </w:r>
    </w:p>
    <w:p>
      <w:r>
        <w:t>De plus, est aussi un indice que les frais de transport jusqu'à Genève sont inclus dans les factures de H.________, le fait que la TVA à l'importation - due sur la contre-prestation y compris les frais de transport - est calculée sur les montants mentionnés sur les factures de H.________ et que, par contre, elle ne l'est pas sur les factures de F.________ AG.</w:t>
      </w:r>
    </w:p>
    <w:p>
      <w:r>
        <w:t>Compte tenu de ces éléments, en retenant que les factures de H.________ comprennent les frais de transport jusqu'à Genève, la Cour de Justice n'est pas tombée dans l'arbitraire et le grief doit être rejeté.</w:t>
      </w:r>
    </w:p>
    <w:p>
      <w:r>
        <w:rPr>
          <w:b/>
        </w:rPr>
        <w:t>E. 3.3</w:t>
      </w:r>
    </w:p>
    <w:p>
      <w:r>
        <w:t>La recourante, à nouveau dans une argumentation essentiellement appellatoire, prétend que c'est à tort, et en renversant le fardeau de la preuve, que la Cour de Justice a retenu que F.________ AG ne déployait pas une activité réelle.</w:t>
      </w:r>
    </w:p>
    <w:p>
      <w:r>
        <w:t>L'autorité précédente a toutefois tenu compte de toutes les pièces du dossier, dont le contrat entre la recourante et F.________ AG. Elle a estimé que ce document, ainsi que les quelques pièces censées prouver que F.________ AG avait d'autres clients que la recourante, ne suffisaient pas à prouver qu'une activité était réellement exercée. Au regard des éléments énoncés dans la partie "Faits" ci-dessus et que la recourante ne conteste pas - dont les liens entre les différentes sociétés en cause, l'implication de L.________ dans la gestion de la recourante et le fait qu'il est l'ayant-droit économique d'un compte bancaire ouvert au nom de F.________ AG -, ajouté au constat que cette société facturait à double des frais à la recourante, on ne peut reprocher à l'autorité précédente d'avoir interprété les pièces de façon manifestement insoutenable en n'excluant pas que F.________ AG était une société dont l'existence n'était pas justifiée du point de vue commercial et économique. Le grief doit, dès lors, également être rejeté.</w:t>
      </w:r>
    </w:p>
    <w:p>
      <w:r>
        <w:rPr>
          <w:b/>
        </w:rPr>
        <w:t>E. 4.1</w:t>
      </w:r>
    </w:p>
    <w:p>
      <w:r>
        <w:t>La recourante se plaint d'une application arbitraire de l' art. 12 let . g et h de la loi genevoise du 23 septembre 1994 sur l'imposition des personnes morales (ci-après: LIPM), ainsi que de l'art. 69 al. 1 de la loi genevoise du 4 octobre 2001 de procédure fiscale (ci-après: LPFisc).</w:t>
      </w:r>
    </w:p>
    <w:p>
      <w:r>
        <w:t>L'intéressée ne mentionne l'arbitraire que dans le titre de ses deux griefs. Elle ne reprend pas cette notion, pas plus qu'elle ne cite l' art. 9 Cst. , dans son argumentation et ne tente pas de démontrer en quoi l'application du droit cantonal par la Cour de Justice serait arbitraire. Elle reprend la jurisprudence en matière de prestations appréciables en argent et de divers principes applicables en droit fiscal pour conclure que, dans son cas, les charges en cause sont justifiées par l'usage commercial et que l'amende est infondée. La recourante se contente ainsi de critiquer la décision attaquée comme elle le ferait en instance d'appel. Partant ses griefs ne répondent pas aux exigences de motivation de l' art. 106 al. 2 LTF (cf., à cet égard, ATF 136 I 65 consid. 1.3.1 p. 68; 135 I 313 consid. 1.3 p. 316; 135 V 94 consid. 1 p. 95) et ils sont irrecevables.</w:t>
      </w:r>
    </w:p>
    <w:p>
      <w:r>
        <w:rPr>
          <w:b/>
        </w:rPr>
        <w:t>E. 4.2</w:t>
      </w:r>
    </w:p>
    <w:p>
      <w:r>
        <w:t>La détermination du bénéfice imposable ( art. 24 LHID et cf. consid. 5) et l'amende pour soustraction d'impôt ( art. 56 LHID et cf. consid. 6) font toutefois partie du droit harmonisé. Le Tribunal fédéral entrera dès lors en matière.</w:t>
      </w:r>
    </w:p>
    <w:p>
      <w:r>
        <w:rPr>
          <w:b/>
        </w:rPr>
        <w:t>E. 5.1</w:t>
      </w:r>
    </w:p>
    <w:p>
      <w:r>
        <w:t>Selon l' art. 24 al. 1 lettre a LHID , l'impôt sur le bénéfice a pour objet l'ensemble du bénéfice net, y compris les charges non justifiées par l'usage commercial portées au débit du compte de résultat.</w:t>
      </w:r>
    </w:p>
    <w:p>
      <w:r>
        <w:t>L'art. 12 let. a et h LIPM prévoit que sont considérés comme bénéfice net imposable le bénéfice net tel qu'il résulte du compte de profits et pertes, ainsi que les allocations volontaires à des tiers et les prestations de toute nature fournies gratuitement à des tiers ou à des actionnaires de la société.</w:t>
      </w:r>
    </w:p>
    <w:p>
      <w:r>
        <w:t>Bien qu'elles ne le mentionnent pas expressément, les deux dispositions susmentionnées visent notamment les distributions dissimulées de bénéfice (RDAF 2009 II 522 = RF 64/2009 810, 2C_895/2008; RDAF 2008 II 216 consid. 5.1, 2C_188/2008 et les références doctrinales citées), soit des prélèvements qui ne sont pas conformes au droit commercial et qui doivent donc être réintégrés au bénéfice imposable. Ainsi, même s'il est rédigé différemment de l' art. 24 al. 1 lettre a LHID , l' art. 12 let . h LIPM est conforme à cette disposition.</w:t>
      </w:r>
    </w:p>
    <w:p>
      <w:r>
        <w:t>Selon la jurisprudence,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 ATF 131 II 593 consid. 5.1 p. 607) et que les organes de la société auraient pu reconnaître le caractère insolite de cette prestation ( ATF 119 Ib 431 consid. 2b p. 435; 115 Ib 274 consid. 9b p. 279 et la jurisprudence citée). Des exigences particulièrement sévères doivent être posées lorsque des relations juridiques internationales sont en cause, car, dans ce cas, les rapports avec le bénéficiaire de la prestation échappent aux autorités locales (Archives 68 p. 246 consid. 3c et 65 p. 401 consid. 2b i.f.; voir aussi arrêts 2C_199/2009 du 14 septembre 2009 consid. 3.2 et 2e partie du consid. 3.5 sous "Impôts communal et cantonal" et 2C_377/2009 du 9 septembre 2009 consid. 2.3 en matière d'impôt anticipé).</w:t>
      </w:r>
    </w:p>
    <w:p>
      <w:r>
        <w:rPr>
          <w:b/>
        </w:rPr>
        <w:t>E. 5.2</w:t>
      </w:r>
    </w:p>
    <w:p>
      <w:r>
        <w:t>La maxime d'office régissant la détermination de la dette fiscale est applicable aux impôts cantonaux et communaux ( art. 46 LHID et 36 LPFisc ) de sorte que les autorités compétentes peuvent entreprendre toutes les investigations nécessaires à la détermination de l'impôt. Dans ce domaine, selon les règles générales relatives au fardeau de la preuve, si les preuves recueillies par l'autorité fiscale fournissent suffisamment d'indices révélant l'existence d'éléments imposables qui n'ont pas été annoncés, il appartient au contribuable d'établir l'exactitude de ses allégations et de supporter le fardeau de la preuve du fait qui justifie son exonération ( ATF 121 II 257 consid. 4c/aa p. 266; R/F 64/2009 p. 834, 2C_76/2009; RDAF 2009 II 560, 2C_199/2009 et les références doctrinales citées). Il en va de même lorsqu'une prestation en argent présente un caractère insolite; le contribuable est alors tenu de prouver que la prestation en cause est justifiée par l'usage commercial ( ATF 119 Ib 431 consid. 2c p. 435).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(R/F 64/2009 p. 834, 2C_76/2009; RDAF 2009 II 560, 2C_199/2009 et les arrêts cités).</w:t>
      </w:r>
    </w:p>
    <w:p>
      <w:r>
        <w:rPr>
          <w:b/>
        </w:rPr>
        <w:t>E. 5.3</w:t>
      </w:r>
    </w:p>
    <w:p>
      <w:r>
        <w:t>A l'instar de la Cour de Justice, on ne peut que conclure qu'un faisceau d'indices indique qu'il y a eu distribution dissimulée de bénéfice. Comme on l'a vu ci-dessus, le prix du transport jusqu'à Genève était, dans un premier temps supporté par H.________ qui l'incluait par la suite dans ses factures à l'endroit de la recourante. A cet égard, la force probante du contrat de transport passé entre F.________ AG et K.________ Srl, document qui justifierait les factures de F.________ AG relatives aux frais de transport de la marchandise achetée à Milan, est faible. Il apparait étrange que ce document, envoyé par télécopie, mentionne comme entête de transmission "H.________ Exp. Imp.", alors que cette société n'est nullement censée être concernée par le contrat en cause. En outre, à l'endroit où est apposée la signature du représentant de K.________ srl, la raison sociale apparaît sans raison deux fois dans deux polices différentes et chaque fois orthographiée différemment. Ces faits font douter de l'authenticité de ce contrat et, comme le relève le fisc, rien n'exclut que le contrat de transport n'ait pas été plutôt passé entre K.________ srl et H.________; ce d'autant plus qu'aucune facture de K.________ srl à F.________ AG relative aux frais de transport n'a été fournie. Alors que les frais de transport de la marchandise étaient inclus dans les factures de H.________ (cf. consid. 3.2), la recourante en a aussi payés à F.________ AG. Une telle opération n'aurait jamais eu lieu si les deux sociétés n'étaient pas apparentées. Tel est d'ailleurs le cas. L'ayant-droit économique du compte bancaire de F.________ AG, sur lequel certaines factures étaient payées par la recourante, est L.________. Or, cette personne est domiciliée à la même adresse à Milan que C.________, actionnaire de la recourante. En outre, l'arrêt attaqué retient, sans que la recourante ne le conteste, que L.________ participe à la gestion de la recourante, alors qu'il n'est ni actionnaire ni salarié de celle-ci, et que certains de ses frais (hôtels et restaurants à Genève, débours, etc.) ont été pris en charge par celle-ci. Les liens en cause dépassent donc ceux d'une simple relation commerciale, tout en rappelant que c'est la comptabilité déficiente de la recourante qui a été retenue, en premier lieu, par la Cour de Justice.</w:t>
      </w:r>
    </w:p>
    <w:p>
      <w:r>
        <w:t>La recourante reproche à l'autorité précédente de s'être "focalisée sur la question du transport, alors qu'en réalité les factures de F.________ AG incluent également ses prestations d'acheteurs sur le marché milanais". Elle oublie que les factures de F.________ AG, si elles sont bien intitulées "Commission et frais expédition de Milan", ne détaillent pas entre ces deux types de charge et que la recourante n'a pas été en mesure de fournir des factures de F.________ AG séparant les frais de transport des commissions. La recourante est, dès lors, malvenue de se plaindre du fait que l'autorité précédente n'a pas fait mention des commissions.</w:t>
      </w:r>
    </w:p>
    <w:p>
      <w:r>
        <w:t>Compte tenu des éléments qui précèdent, la Cour de Justice n'a pas violé la loi sur l'harmonisation en considérant que les factures de F.________ AG comptabilisées comme charges par la recourante étaient des distributions dissimulées de bénéfice. C'est à bon droit qu'elle a, dès lors, refusé leur déduction.</w:t>
      </w:r>
    </w:p>
    <w:p>
      <w:r>
        <w:rPr>
          <w:b/>
        </w:rPr>
        <w:t>E. 6.1</w:t>
      </w:r>
    </w:p>
    <w:p>
      <w:r>
        <w:t>Conformément à l' art. 56 al. 1 LHID , l'art. 69 LPFIsc prévoit que le contribuable qui, intentionnellement ou par négligence, fait en sorte qu'une taxation ne soit pas effectuée alors qu'elle aurait dû l'être, ou qu'une taxation entrée en force soit incomplète, est puni d'une amende (al. 1). En règle générale, l'amende est fixée au montant de l'impôt soustrait. Si la faute est légère, l'amende peut être réduite jusqu'au tiers de ce montant; si la faute est grave, elle peut au plus être triplée (al. 2).</w:t>
      </w:r>
    </w:p>
    <w:p>
      <w:r>
        <w:rPr>
          <w:b/>
        </w:rPr>
        <w:t>E. 6.2</w:t>
      </w:r>
    </w:p>
    <w:p>
      <w:r>
        <w:t>Seul le principe de l'amende est contesté. Or, comme examiné ci-dessus, la recourante a volontairement déduit de son chiffre d'affaires des frais de transport à double. L'amende infligée en raison du caractère incomplet de la taxation fondée sur la comptabilité déficiente de la recourante est donc conforme au droit cantonal harmonisé. Le montant de l'amende n'est pas attaqué et ce à raison. L'article susmentionné prévoit à son alinéa 2 qu'en règle générale l'amende est fixée au montant de l'impôt soustrait. Tel est le cas en l'espèce, l'amende étant de 191'751.- fr. pour les périodes fiscales 2001 et 2002.</w:t>
      </w:r>
    </w:p>
    <w:p>
      <w:r>
        <w:rPr>
          <w:b/>
        </w:rPr>
        <w:t>E. 7</w:t>
      </w:r>
    </w:p>
    <w:p>
      <w:r>
        <w:t>Il résulte de ce qui précède que le recours doit être rejeté dans la mesure où il est recevable. Succombant, la recourante doit supporter un émolument judiciaire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