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2C_189/2008 vom 23. Mai 2008</w:t>
      </w:r>
    </w:p>
    <w:p>
      <w:r>
        <w:t>Bundesgericht, 2008-05-23, DE</w:t>
      </w:r>
    </w:p>
    <w:p>
      <w:r>
        <w:rPr>
          <w:b/>
        </w:rPr>
        <w:t xml:space="preserve">Quelle: </w:t>
      </w:r>
      <w:r>
        <w:t>https://mcp.opencaselaw.ch/entscheid/bger_2C_189_2008</w:t>
      </w:r>
    </w:p>
    <w:p>
      <w:r>
        <w:t>FR: TF 2C_189/2008 du 23 mai 2008</w:t>
      </w:r>
    </w:p>
    <w:p>
      <w:r>
        <w:t>IT: TF 2C_189/2008 del 23 maggio 2008</w:t>
      </w:r>
    </w:p>
    <w:p>
      <w:pPr>
        <w:pStyle w:val="Heading2"/>
      </w:pPr>
      <w:r>
        <w:t>Erwägungen</w:t>
      </w:r>
    </w:p>
    <w:p>
      <w:r>
        <w:rPr>
          <w:b/>
        </w:rPr>
        <w:t>E. 1</w:t>
      </w:r>
    </w:p>
    <w:p>
      <w:r>
        <w:t>Angefochten ist ein letztinstanzlicher kantonaler Endentscheid in einer Angelegenheit des öffentlichen Rechts, die unter keine der Ausnahmen gemäss Art. 83 BGG fällt. Das Rechtsmittel der Beschwerde in öffentlich-rechtlichen Angelegenheiten ist daher zulässig. Die Beschwerdeführerin ist zu seiner Ergreifung legitimiert ( Art. 89 Abs. 1 BGG ).</w:t>
      </w:r>
    </w:p>
    <w:p>
      <w:r>
        <w:rPr>
          <w:b/>
        </w:rPr>
        <w:t>E. 2</w:t>
      </w:r>
    </w:p>
    <w:p>
      <w:r>
        <w:t>Das angefochtene kantonale Urteil befindet, wovon übereinstimmend auch die Parteien ausgehen, über Ansprüche aus einem öffentlichrechtlichen Vertrag, der die Voraussetzungen für den Bezug von Subventionen regelt. Das Privatrecht ist auf solche Verträge nicht direkt anwendbar. Die Regeln des Obligationenrechts können jedoch, soweit sich dies als sachgerecht erweist, auf öffentlichrechtliche Verträge analog Anwendung finden. Das Bundesgericht prüft die Handhabung dieser vertragsrechtlichen Grundsätze, wenn es sich um eine dem kantonalen öffentlichen Recht zuzuordnende Materie handelt, gleich wie die Auslegung des entsprechenden einfachen Gesetzesrechts nur unter dem Gesichtswinkel der Verfassungskonformität, d.h. insbesondere des Willkürverbotes ( BGE 122 I 328 E.1 a/bb, S. 331 f., und E.3a, S. 333 f.; 105 la 207 E. 2c S. 211 f.). Solche Verfassungsrügen müssen ausdrücklich erhoben und gehörig begründet werden (Art. 42 Abs. 2 i.V. mit Art. 106 Abs. 2 BGG ).</w:t>
      </w:r>
    </w:p>
    <w:p>
      <w:r>
        <w:rPr>
          <w:b/>
        </w:rPr>
        <w:t>E. 3</w:t>
      </w:r>
    </w:p>
    <w:p>
      <w:r>
        <w:t>Die vorliegende Beschwerdeschrift erschöpft sich in weitschweifigen Ausführungen über die Tragweite und Hintergründe der vorhandenen Parteierklärungen, ohne das Vorliegen einer Verfassungsverletzung auch nur zu behaupten. Sie beruft sich einzig auf einzelne Bestimmungen des Obligationenrechts (Art. 1 und Art. 18 Abs. 1), deren Verletzung hier nach dem Gesagten als (direkter) Beschwerdegrund ausser Betracht fällt. Dass das Verwaltungsgericht allgemeine Grundsätze des Vertragsrechts in unhaltbarer Weise angewendet und dadurch gegen das Willkürverbot verstossen habe, wird weder gerügt noch dargetan. Mangels einer tauglichen Begründung ist auf die Beschwerde insoweit nicht einzutreten.</w:t>
      </w:r>
    </w:p>
    <w:p>
      <w:r>
        <w:rPr>
          <w:b/>
        </w:rPr>
        <w:t>E. 4</w:t>
      </w:r>
    </w:p>
    <w:p>
      <w:r>
        <w:t>Die Beschwerdeführerin beanstandet, dass Y.________, welche als zuständige Abteilungsleiterin des städtischen Sozialdepartementes mit E-Mail vom 22. Dezember 2006 einem Vorschlag der Krippenbetreiberin zugestimmt haben soll, im angefochtenen Urteil (S. 9) als blosse "Sachbearbeiterin" bezeichnet werde, und erblickt hierin eine offensichtlich aktenwidrige Sachverhaltsfeststellung im Sinne von Art. 97 Abs. 1 BGG . Diese Rüge ist, da die behauptete Verkennung der hierarchischen Stellung von Y.________ nach der Darstellung in der Beschwerdeschrift (S. 9 f.) für das Ergebnis der Beurteilung von Bedeutung sein könnte, insoweit zulässig ( Art. 97 Abs. 1 BGG ). Sie vermag jedoch nicht durchzudringen. Das Sozialdepartement hält dem Einwand der Beschwerdeführerin in seiner Vernehmlassung entgegen, unter Sachbearbeitung sei lediglich die Zuständigkeit und Verantwortung für ein bestimmtes Sachgebiet zu verstehen, ohne dass sich hieraus eine hierarchische Funktion ablesen lasse; die im angefochtenen Urteil funktional verwendete Bezeichnung von Y.________ als Sachbearbeiterin sei nicht als degradierend zu verstehen. Dem ist grundsätzlich beizupflichten. Die Bezeichnung als Sachbearbeiterin ist jedenfalls nicht offensichtlich unrichtig, und die Erwägungen des angefochtenen Urteils lassen auch nicht darauf schliessen, dass der erwähnten Nachricht vom 22. Dezember 2006 wegen Verkennung der hierarchischen Stellung der Absenderin ein falscher Stellenwert beigemessen wurde.</w:t>
      </w:r>
    </w:p>
    <w:p>
      <w:r>
        <w:rPr>
          <w:b/>
        </w:rPr>
        <w:t>E. 5</w:t>
      </w:r>
    </w:p>
    <w:p>
      <w:r>
        <w:t>Die Beschwerde erweist sich damit, soweit darauf überhaupt einzutreten ist, als unbegründet. Bei diesem Ausgang sind die Kosten des bundesgerichtlichen Verfahrens der Beschwerdeführerin aufzuerlegen ( Art. 66 Abs. 1 BGG ). Seitens der Stadt Zürich besteht kein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