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187/2024 vom 23. April 2024</w:t>
      </w:r>
    </w:p>
    <w:p>
      <w:r>
        <w:t>Bundesgericht, 2024-04-23, DE</w:t>
      </w:r>
    </w:p>
    <w:p>
      <w:r>
        <w:rPr>
          <w:b/>
        </w:rPr>
        <w:t xml:space="preserve">Quelle: </w:t>
      </w:r>
      <w:r>
        <w:t>https://mcp.opencaselaw.ch/entscheid/bger_2C_187_2024</w:t>
      </w:r>
    </w:p>
    <w:p>
      <w:r>
        <w:t>FR: TF 2C 187/2024 du 23 avril 2024</w:t>
      </w:r>
    </w:p>
    <w:p>
      <w:r>
        <w:t>IT: TF 2C 187/2024 del 23 aprile 2024</w:t>
      </w:r>
    </w:p>
    <w:p>
      <w:pPr>
        <w:pStyle w:val="Heading2"/>
      </w:pPr>
      <w:r>
        <w:t>Regeste</w:t>
      </w:r>
    </w:p>
    <w:p>
      <w:r>
        <w:t>Entzug der Bewilligung zur Berufsausübung / Entzug der Zulassung zur Tätigkeit zulasten der obligatorischen Krankenversicherung; Wiederherstellung der aufschiebenden Wirkung | Grundrecht</w:t>
      </w:r>
    </w:p>
    <w:p>
      <w:pPr>
        <w:pStyle w:val="Heading2"/>
      </w:pPr>
      <w:r>
        <w:t>Erwägungen</w:t>
      </w:r>
    </w:p>
    <w:p>
      <w:r>
        <w:rPr>
          <w:b/>
        </w:rPr>
        <w:t>E. 1.1</w:t>
      </w:r>
    </w:p>
    <w:p>
      <w:r>
        <w:t>Dipl. med. A.________ betreibt eine Hausarztpraxis in U.________. Mit Verfügung vom 28. Februar 2024 entzog ihm die Gesundheitsdirektion des Kantons Zug die Bewilligung zur Berufsausübung in eigener fachlicher Verantwortung und gleichzeitig die Zulassung zur Tätigkeit zulasten der obligatorischen Krankenpflegeversicherung. Der Entscheid wurde im Wesentlichen damit begründet, dass dipl. med. A.________ mehrere Berufspflichten zum Teil in schwerwiegender Weise verletzt und dadurch das unmittelbare Wohl der Patienten gefährdet sowie deren kollektives Vertrauen in ihn als Arztperson missbraucht habe. Einer allfälligen Beschwerde entzog die Gesundheitsdirektion die aufschiebende Wirkung.</w:t>
      </w:r>
    </w:p>
    <w:p>
      <w:r>
        <w:rPr>
          <w:b/>
        </w:rPr>
        <w:t>E. 1.2</w:t>
      </w:r>
    </w:p>
    <w:p>
      <w:r>
        <w:t>Gegen diese Verfügung erhob dipl. med. A.________ Beschwerde an das Verwaltungsgericht des Kantons Zug und ersuchte unter anderem um Wiederherstellung der aufschiebenden Wirkung. Mit Verfügung vom 20. März 2024 wies der Vorsitzende der verwaltungsrechtlichen Kammer des Verwaltungsgerichts das Gesuch um Wiederherstellung der aufschiebenden Wirkung ab (Dispositiv-Ziff. 1).</w:t>
      </w:r>
    </w:p>
    <w:p>
      <w:r>
        <w:rPr>
          <w:b/>
        </w:rPr>
        <w:t>E. 1.3</w:t>
      </w:r>
    </w:p>
    <w:p>
      <w:r>
        <w:t>Dipl. med. A.________ gelangt mit Beschwerde vom 16. April 2024 an das Bundesgericht und beantragt die Aufhebung der Verfügung vom 20. März 2024. Ferner sei superprovisorisch zu entscheiden, dass er für die Verfahrensdauer über eine Bewilligung zur Berufsausübung in eigener fachlicher Verantwortung verfüge, zur Tätigkeit zu Lasten der obligatorischen Krankenversicherung zugelassen sei und seine Praxis weiterbetreiben könne. Es wurden keine Instruktionsmassnahmen angeordnet.</w:t>
      </w:r>
    </w:p>
    <w:p>
      <w:r>
        <w:rPr>
          <w:b/>
        </w:rPr>
        <w:t>E. 2.1</w:t>
      </w:r>
    </w:p>
    <w:p>
      <w:r>
        <w:t>Die angefochtene Verfügung, mit welcher ein Gesuch des Beschwerdeführers um Wiederherstellung der aufschiebenden Wirkung in einem vor dem Verwaltungsgericht hängigen Verfahren abgewiesen wurde, stellt einen selbständig eröffneten Zwischenentscheid über vorsorgliche Massnahmen dar ( Art. 93 BGG ). Nach dem Grundsatz der Einheit des Verfahrens (vgl. BGE 143 II 425 E. 1.3; 138 II 501 E. 1.1; 134 V 138 E. 3) folgt der Rechtsweg bei Zwischenentscheiden demjenigen der Hauptsache (vgl. BGE 137 III 380 E. 1.1; Urteile 2C_477/2021 vom 24. Juni 2021 E. 1.2; 2C_1062/2020 vom 25. März 2021 E. 1.1). In der Sache geht es um den Entzug der Berufsausübungsbewilligung als Arzt. Dagegen steht die Beschwerde in öffentlich-rechtlichen Angelegenheiten grundsätzlich zur Verfügung (vgl. u.a. Urteil 2C_178/2020 vom 19. Juni 2020 E. 1.1).</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Wie es sich vorliegend damit verhält, kann offenbleiben, da auf die Beschwerde bereits aus anderen Gründen nicht einzutreten ist.</w:t>
      </w:r>
    </w:p>
    <w:p>
      <w:r>
        <w:rPr>
          <w:b/>
        </w:rPr>
        <w:t>E. 2.3</w:t>
      </w:r>
    </w:p>
    <w:p>
      <w:r>
        <w:t>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w:t>
      </w:r>
    </w:p>
    <w:p>
      <w:r>
        <w:rPr>
          <w:b/>
        </w:rPr>
        <w:t>E. 2.4</w:t>
      </w:r>
    </w:p>
    <w:p>
      <w:r>
        <w:t>Die Eingabe des Beschwerdeführers genügt den Anforderungen von Art. 98 BGG nicht. Soweit er eine Verletzung des rechtlichen Gehörs ( Art. 29 Abs. 2 BV ) geltend macht, weil die Vorinstanz "bestimmte Aspekte seiner Argumentation und seiner Beweise nicht angemessen berücksichtigt" habe, erfüllen seine Ausführungen die qualifizierten Anforderungen an die Begründung von Verfassungsrügen ( Art. 106 Abs. 2 BGG und E. 2.3 hiervor) nicht. Weitere verfassungsmässige Rechte werden vom Beschwerdeführer nicht angerufen. Insbesondere stellt das von ihm als verletzt gerügte Verhältnismässigkeitsprinzip ( Art. 5 Abs. 2 BV ) kein verfassungsmässiges Recht, sondern lediglich einen Verfassungsgrundsatz dar (vgl. BGE 140 II 194 E. 5.8.2 mit Hinweis).</w:t>
      </w:r>
    </w:p>
    <w:p>
      <w:r>
        <w:rPr>
          <w:b/>
        </w:rPr>
        <w:t>E. 3.1</w:t>
      </w:r>
    </w:p>
    <w:p>
      <w:r>
        <w:t>Auf die offensichtlich unbegründete Beschwerde (Art. 98 i.V.m. Art. 106 Abs. 2 BGG ) ist mit Entscheid der Abteilungspräsidentin als Einzelrichterin im vereinfachten Verfahren nach Art. 108 BGG (Abs. 1 lit. b) nicht einzutreten. Ob der Antrag des Beschwerdeführers, es sei superprovisorisch zu entscheiden, dass er für die Verfahrensdauer über eine Bewilligung zur Berufsausübung in eigener fachlicher Verantwortung verfüge, zur Tätigkeit zu Lasten der obligatorischen Krankenversicherung zugelassen sei und seine Praxis weiterbetreiben könne, als Gesuch um vorsorgliche Massnahmen für das bundesgerichtliche Verfahren ( Art. 104 BGG ) zu verstehen sei, ist unklar. Ein solches Gesuch wäre aber mit dem vorliegenden Entscheid ohnehin gegenstandslos geworden.</w:t>
      </w:r>
    </w:p>
    <w:p>
      <w:r>
        <w:rPr>
          <w:b/>
        </w:rPr>
        <w:t>E. 3.2</w:t>
      </w:r>
    </w:p>
    <w:p>
      <w:r>
        <w:t>Dem Verfahrensausgang entsprechend trägt der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