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186/2022 vom 4. Mai 2022</w:t>
      </w:r>
    </w:p>
    <w:p>
      <w:r>
        <w:t>Bundesgericht, 2022-05-04, IT</w:t>
      </w:r>
    </w:p>
    <w:p>
      <w:r>
        <w:rPr>
          <w:b/>
        </w:rPr>
        <w:t xml:space="preserve">Quelle: </w:t>
      </w:r>
      <w:r>
        <w:t>https://mcp.opencaselaw.ch/entscheid/bger_2C_186_2022</w:t>
      </w:r>
    </w:p>
    <w:p>
      <w:r>
        <w:t>FR: TF 2C 186/2022 du 4 mai 2022</w:t>
      </w:r>
    </w:p>
    <w:p>
      <w:r>
        <w:t>IT: TF 2C 186/2022 del 4 maggio 2022</w:t>
      </w:r>
    </w:p>
    <w:p>
      <w:pPr>
        <w:pStyle w:val="Heading2"/>
      </w:pPr>
      <w:r>
        <w:t>Regeste</w:t>
      </w:r>
    </w:p>
    <w:p>
      <w:r>
        <w:t>Imposta federale diretta e imposta cantonale e comunale 2017 - 2019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1'000.-- sono poste a carico dei ricorrenti, con vincolo di solidarietà.</w:t>
      </w:r>
    </w:p>
    <w:p>
      <w:r>
        <w:rPr>
          <w:b/>
        </w:rPr>
        <w:t>E. 3</w:t>
      </w:r>
    </w:p>
    <w:p>
      <w:r>
        <w:t>Comunicazione al patrocinatore dei ricorrenti, alla Divisione delle contribuzioni e alla Camera di diritto tributario del Tribunale d'appello del Cantone Ticino nonché all'Amministrazione federale delle contribuzioni, Divisione principale imposta federale diretta, imposta preventiva, tasse di bollo. Losanna, 4 maggio 2022 In nome della II Corte di diritto pubblico del Tribunale federale svizzero La Presidente: F. Aubry Girardin 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