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2C_185/2023 vom 28. August 2023</w:t>
      </w:r>
    </w:p>
    <w:p>
      <w:r>
        <w:t>Bundesgericht, 2023-08-28, IT</w:t>
      </w:r>
    </w:p>
    <w:p>
      <w:r>
        <w:rPr>
          <w:b/>
        </w:rPr>
        <w:t xml:space="preserve">Quelle: </w:t>
      </w:r>
      <w:r>
        <w:t>https://mcp.opencaselaw.ch/entscheid/bger_2C_185_2023</w:t>
      </w:r>
    </w:p>
    <w:p>
      <w:r>
        <w:t>FR: TF 2C_185/2023 du 28 août 2023</w:t>
      </w:r>
    </w:p>
    <w:p>
      <w:r>
        <w:t>IT: TF 2C_185/2023 del 28 agosto 2023</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all'ALC, la causa sfugge tuttavia alla menzionata clausola d'eccezione (sentenza 2C_570/2022 del 20 febbraio 2023 consid. 1.1).</w:t>
      </w:r>
    </w:p>
    <w:p>
      <w:r>
        <w:rPr>
          <w:b/>
        </w:rPr>
        <w:t>E. 1.2</w:t>
      </w:r>
    </w:p>
    <w:p>
      <w:r>
        <w:t>Il gravame è stato presentato nei termini ( art. 100 cpv. 1 LTF ), contro una decisione finale di un tribunale superiore (art. 86 cpv. 1 lett. d e cpv. 2; art. 90 LTF ) e da una persona che ha legittimazione ad insorgere ( art. 89 cpv. 1 LTF ), di modo che esso va esaminato quale ricorso in materia di diritto pubblico (art. 82 segg. LTF). Visto l'esito della causa, anche la questione dell'ammissibilità delle conclusioni formulate dall'insorgente, che appaiono in parte diverse da quelle presentate in sede cantonale, non va infatti approfondita.</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agli atti ( art. 105 cpv. 2 LTF ; DTF 140 III 115 consid. 2). L'eliminazione del vizio deve inoltre poter influire in maniera determinante sull'esito della causa ( art. 97 cpv. 1 LTF ).</w:t>
      </w:r>
    </w:p>
    <w:p>
      <w:r>
        <w:rPr>
          <w:b/>
        </w:rPr>
        <w:t>E. 2.3</w:t>
      </w:r>
    </w:p>
    <w:p>
      <w:r>
        <w:t>Il ricorso rispetta i citati requisiti di motivazione solo in parte. Per quanto li disattenda, esso non può essere quindi approfondito. Inoltre, dato che l'insorgente non li mette in discussione - con motivazione conforme all' art. 106 cpv. 2 LTF , che ne dimostri un accertamento e/o un apprezzamento arbitrario - i fatti che emergono dal giudizio impugnato vincolano il Tribunale federale ( art. 105 cpv. 1 LTF ).</w:t>
      </w:r>
    </w:p>
    <w:p>
      <w:r>
        <w:rPr>
          <w:b/>
        </w:rPr>
        <w:t>E. 3.1</w:t>
      </w:r>
    </w:p>
    <w:p>
      <w:r>
        <w:t>Come detto, il ricorrente ha chiesto all'autorità cantonale il rilascio di un permesso per frontalieri UE/AELS per svolgere un'attività dipendente a tempo parziale (20 ore settimanali) quale responsabile commerciale e amministrativo presso la B.________ Sagl, W.________ (TI), ma il permesso gli è stato negato in quanto non risultava che il datore di lavoro esercitasse un'attività effettiva in Svizzera.</w:t>
      </w:r>
    </w:p>
    <w:p>
      <w:r>
        <w:rPr>
          <w:b/>
        </w:rPr>
        <w:t>E. 3.2</w:t>
      </w:r>
    </w:p>
    <w:p>
      <w:r>
        <w:t>Su ricorso, tale diniego è stato tutelato sia dal Consiglio di Stato ticinese che dal Tribunale cantonale amministrativo. Chiamati a pronunciarsi sulla fattispecie, i Giudici d'appello:</w:t>
      </w:r>
    </w:p>
    <w:p>
      <w:r>
        <w:t>(a) hanno infatti respinto le critiche con cui si lamentava la presa in considerazione, da parte delle autorità migratorie, dell'esito dei controlli dell'Ufficio dell'ispettorato del lavoro (giudizio impugnato, consid. 4);</w:t>
      </w:r>
    </w:p>
    <w:p>
      <w:r>
        <w:t>(b) sono anch'essi giunti alla conclusione che la B.________ Sagl non aveva una propria operatività effettiva, ragione per la quale le condizioni per il rilascio del permesso per frontalieri richiesto non erano date (giudizio impugnato, consid. 5);</w:t>
      </w:r>
    </w:p>
    <w:p>
      <w:r>
        <w:t>(c) hanno infine negato un contrasto con l' art. 27 Cost. , che garantisce la libertà economica (giudizio impugnato, consid. 6).</w:t>
      </w:r>
    </w:p>
    <w:p>
      <w:r>
        <w:rPr>
          <w:b/>
        </w:rPr>
        <w:t>E. 4.1</w:t>
      </w:r>
    </w:p>
    <w:p>
      <w:r>
        <w:t>L' art. 7 cpv. 1 allegato I ALC definisce il lavoratore dipendente frontaliere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frontaliere dipendente una carta speciale valida per almeno cinque anni o per la durata dell'impiego, se questa è superiore a tre mesi o inferiore a un anno. La carta è rinnovata per almeno cinque anni, purché il lavoratore frontaliere dimostri di esercitare un'attività economica.</w:t>
      </w:r>
    </w:p>
    <w:p>
      <w:r>
        <w:t>L' art. 7 cpv. 3 allegato I ALC prevede che la carta speciale è valida per tutto il territorio dello Stato che l'ha rilasciata. I lavoratori dipendenti frontalieri beneficiano della mobilità professionale e geografica su tutto il territorio dello Stato ospitante ( art. 8 cpv. 1 allegato I ALC ; DTF 135 II 128 consid. 2.4). La mobilità professionale comprende il cambiamento di datore di lavoro, di impiego, di professione e il passaggio da un'attività dipendente a un'attività autonoma. La mobilità geografica comprende il cambiamento di luogo di soggiorno e di lavoro ( art. 8 cpv. 2 allegato I ALC ). L'art. 4 cpv. 3 dell'ordinanza del 22 maggio 2002 sull'introduzione della libera circolazione delle persone (OLCP; RS 142.203) ribadisce che il permesso per frontalieri UE/AELS vale in tutta la Svizzera (sentenza 2C_231/2023 dell'11 luglio 2023 consid. 5.1).</w:t>
      </w:r>
    </w:p>
    <w:p>
      <w:r>
        <w:rPr>
          <w:b/>
        </w:rPr>
        <w:t>E. 4.2</w:t>
      </w:r>
    </w:p>
    <w:p>
      <w:r>
        <w:t>Secondo le istruzioni OLCP della Segreteria di Stato della migrazione (istruzioni OLCP-01/2023, in vigore al momento della pronuncia della sentenza impugnata),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2C_231/2023 dell'11 luglio 2023 consid. 5.3; 2C_264/2020 del 10 agosto 2021 consid. 4.3.1).</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2C_264/2020 del 10 agosto 2021 consid. 4.2; 2C_912/2018 del 9 gennaio 2020 consid. 2.1).</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Il ricorrente ravvisa un primo motivo di "censura" all'operato della Corte cantonale nel diniego del permesso in quanto tale. La legittimazione a soggiornare e a lavorare in Svizzera sarebbe infatti data già sulla base degli art. 1 e 4 ALC a prescindere dal rilascio di un qualsivoglia permesso, che sarebbe "del tutto facoltativo" e quindi nemmeno potrebbe essere negato.</w:t>
      </w:r>
    </w:p>
    <w:p>
      <w:r>
        <w:rPr>
          <w:b/>
        </w:rPr>
        <w:t>E. 5.2</w:t>
      </w:r>
    </w:p>
    <w:p>
      <w:r>
        <w:t>Questa prima critica, formulata su un piano prevalentemente formale, non può essere tuttavia condivisa. Di principio, riguardo al rilascio o al rinnovo di autorizzazioni di soggiorno UE/AELS l'applicazione di procedure nazionali, che hanno lo scopo di constatare il sussistere delle condizioni di libera circolazione, è infatti ammessa e ciò vale anche per i permessi per frontalieri, il cui rilascio da parte delle autorità svizzere è previsto sia dall'ALC che dal diritto interno ( art. 7 cpv. 2 allegato I ALC ; art. 4 cpv. 1 OLCP ; sentenza 2C_373/2021 del 22 febbraio 2022 consid. 5.7). D'altra parte, se è vero che le autorizzazioni UE/AELS non hanno carattere costitutivo bensì dichiarativo, e che ciò significa che, quando le condizioni previste dall'ALC per la concessione di una determinata autorizzazione sono date, una persona ha di principio diritto al permesso, altrettanto vero è che proprio la mancanza di queste condizioni (di carattere costitutivo) è stata riscontrata anche nella fattispecie, e che è soltanto per questo motivo che il rilascio del permesso per frontalieri richiesto (di carattere dichiarativo) è stato quindi negato ( DTF 136 II 329 consid. 2.2; sentenza 2C_607/2013 del 27 novembre 2013 consid. 3.3.2).</w:t>
      </w:r>
    </w:p>
    <w:p>
      <w:r>
        <w:rPr>
          <w:b/>
        </w:rPr>
        <w:t>E. 6.1</w:t>
      </w:r>
    </w:p>
    <w:p>
      <w:r>
        <w:t>Con una seconda censura, sempre di natura formale, il ricorrente si lamenta del fatto che il Tribunale amministrativo ticinese sia giunto alla conclusione che la domanda di rilascio di un permesso per frontalieri fosse abusiva, senza spiegare le ragioni per le quali egli avrebbe "richiesto abusivamente il permesso quale confinante in Svizzera". In effetti, non si capirebbe se i Giudici cantonali ritengano che l'insorgente abbia abusivamente richiesto un permesso per un'attività che non svolge, o se sia l'attività che effettivamente svolge ad essere finalizzata a circuire la normativa sui lavoratori distaccati o - ancora - se il raggiro venga rimproverato alla B.________ Sagl.</w:t>
      </w:r>
    </w:p>
    <w:p>
      <w:r>
        <w:t>La motivazione non sarebbe solo carente ma inesistente, di modo che risulterebbe "improponibile applicare un concetto di diritto (l'abuso di diritto) per eccepire un diritto soggettivo".</w:t>
      </w:r>
    </w:p>
    <w:p>
      <w:r>
        <w:rPr>
          <w:b/>
        </w:rPr>
        <w:t>E. 6.2</w:t>
      </w:r>
    </w:p>
    <w:p>
      <w:r>
        <w:t>Nella misura in cui, con la propria censura, l'insorgente mira a lamentare una violazione dell' art. 29 cpv. 2 Cost. , egli non può essere nuovamente seguito. Una critica con la quale viene lamentata una lesione del diritto di essere sentiti va infatti argomentata in modo preciso ( art. 106 cpv. 2 LTF ; precedente consid. 2.1), ciò che non viene qui fatto. Sia come sia, una simile violazione non è comunque data.</w:t>
      </w:r>
    </w:p>
    <w:p>
      <w:r>
        <w:rPr>
          <w:b/>
        </w:rPr>
        <w:t>E. 6.2.1</w:t>
      </w:r>
    </w:p>
    <w:p>
      <w:r>
        <w:t>In base alla giurisprudenza, la motivazione di una decisione è sufficiente e l' art. 29 cpv. 2 Cost. è rispettato quando una parte è messa in condizione di rendersi conto della portata del provvedimento che la concerne e di poterlo impugnare con cognizione di causa ( DTF 143 III 65 consid. 5.2). In quest'ottica, basta che l'autorità esponga, almeno in breve, i motivi che l'hanno indotta a decidere in un senso piuttosto che in un altro ( DTF 142 II 154 consid. 4.2).</w:t>
      </w:r>
    </w:p>
    <w:p>
      <w:r>
        <w:rPr>
          <w:b/>
        </w:rPr>
        <w:t>E. 6.2.2</w:t>
      </w:r>
    </w:p>
    <w:p>
      <w:r>
        <w:t>Proprio così è però anche in casu. In effetti, come risulta dal precedente considerando 3.2, le ragioni del diniego del permesso richiesto sono chiare e vanno individuate nel fatto che la B.________ Sagl non aveva una propria operatività effettiva, ma costituiva una "ramificazione su suolo svizzero" di una ditta italiana (la C.________ Srl con sede a X.________ [Milano-I]), di modo che il rilascio di un permesso in base dell' art. 7 allegato I ALC non era possibile ed erano determinanti le disposizioni sui prestatori di servizi transfrontalieri.</w:t>
      </w:r>
    </w:p>
    <w:p>
      <w:r>
        <w:rPr>
          <w:b/>
        </w:rPr>
        <w:t>E. 7.1</w:t>
      </w:r>
    </w:p>
    <w:p>
      <w:r>
        <w:t>Nel merito, il ricorrente sostiene che non vi sarebbe elusione delle disposizioni appena citate, che la normativa sui lavoratori distaccati "non si attaglia" a un'attività come quella da lui svolta e che la B.________ Sagl "è a tutti gli effetti presente in Svizzera tanto è vero che ha concluso contratti, come detto di appalto, di vendita o misti".</w:t>
      </w:r>
    </w:p>
    <w:p>
      <w:r>
        <w:t>Nel contempo, le sentenze menzionate dai Giudici ticinesi per sostenere l'abuso di diritto non riguarderebbero il rilascio di permessi per frontalieri ma altri ambiti. Per i motivi che seguono, pure queste critiche non possono essere però condivise e vanno respinte.</w:t>
      </w:r>
    </w:p>
    <w:p>
      <w:r>
        <w:rPr>
          <w:b/>
        </w:rPr>
        <w:t>E. 7.2</w:t>
      </w:r>
    </w:p>
    <w:p>
      <w:r>
        <w:t>Chiedendosi se il datore di lavoro esercitava in Svizzera un'attività reale, effettiva e duratura, anche il Tribunale amministrativo ticinese si è infatti basato sui principi e sulla giurisprudenza presentati nel precedente considerando 4. Contrariamente a quanto pare sostenere l'insorgente, l'impostazione giuridica su cui si sono fondati i Giudici ticinesi, per poi giungere alla conclusione che le condizioni previste dall' art. 7 allegato I ALC per il rilascio del permesso richiesto non erano date è quindi corretta (sentenze 2C_231/2023 dell'11 luglio 2023 consid. 5 e 6; 2C_264/2020 del 10 agosto 2021 consid. 5).</w:t>
      </w:r>
    </w:p>
    <w:p>
      <w:r>
        <w:t>Quella relativa all'apprezzamento delle prove che li hanno condotti a tale conclusione è invece una questione di fatto, che il Tribunale federale rivede solo nell'ottica del divieto d'arbitrio (sentenza 2C_264/2020 del 10 agosto 2021 consid. 5.2). Nell'impugnativa presentata in sede federale, una lesione dell' art. 9 Cost. non viene però dimostrata e per altro nemmeno lamentata (precedenti consid. 2.3).</w:t>
      </w:r>
    </w:p>
    <w:p>
      <w:r>
        <w:rPr>
          <w:b/>
        </w:rPr>
        <w:t>E. 7.3</w:t>
      </w:r>
    </w:p>
    <w:p>
      <w:r>
        <w:t>D'altra parte, alla luce dei fatti che risultano dal giudizio impugnato, che vincolano il Tribunale federale ( art. 105 cpv. 1 LTF ), nemmeno si può ravvisare una violazione dell' art. 7 allegato I ALC nell'avere negato il permesso richiesto, dopo avere constatato l'assenza di un'attività effettiva da parte della datrice di lavoro indicata.</w:t>
      </w:r>
    </w:p>
    <w:p>
      <w:r>
        <w:t>Il diniego si basa in effetti sui seguenti accertamenti: (a) che la B.________ Sagl, di cui il ricorrente è l'unico socio, risultava operare nello stesso settore della C.________ Srl, X.________ (Milano-I), della quale il ricorrente è amministratore unico; (b) che l'infrastruttura di B.________ Sagl era ridotta e incongruente con la natura e l'ampiezza dell'attività dichiarata, in quanto nel Cantone Ticino la ditta disponeva solo di un ufficio senza mobilio, non aveva veicoli intestati a proprio nome, né risultava avere locato magazzini o box e anche il successivo allestimento di uno showroom non bastava a sovvertire questa conclusione; (c) che degli aspetti amministrativi si occupava una fiduciaria, utilizzata inizialmente anche quale recapito telefonico; (d) che in base alla documentazione, nel 2019 la B.________ Sagl aveva emesso fatture senza avere assunto nessun operaio e sui suoi cantieri erano attivi operai distaccati della C.________ Srl, X.________ (Milano-I), rispettivamente della D.________ Srl, Y.________ (Brescia-I) e della E.________ Sagl di Z.________ (TI) (giudizio impugnato, consid. 5.2 seg.; nel medesimo senso, cfr. sempre le sentenze del Tribunale federale 2C_231/2023 dell'11 luglio 2023 consid. 6.1 e 2C_264/2020 del 10 agosto 2021 consid. 5.2).</w:t>
      </w:r>
    </w:p>
    <w:p>
      <w:r>
        <w:rPr>
          <w:b/>
        </w:rPr>
        <w:t>E. 7.4</w:t>
      </w:r>
    </w:p>
    <w:p>
      <w:r>
        <w:t>Ritenuto che, giusta l' art. 7 allegato I ALC , è necessario che il datore di lavoro eserciti in Svizzera un'attività reale, effettiva e duratura, che in base ai fatti constatati nel giudizio impugnato il ricorrente risulta essere sempre alle dipendenze della B.________ Sagl e che quest'ultima non può essere riconosciuta quale datrice di lavoro ai sensi della norma menzionata, il ricorso dev'essere quindi integralmente respinto, nella misura della sua ammissibilità.</w:t>
      </w:r>
    </w:p>
    <w:p>
      <w:r>
        <w:rPr>
          <w:b/>
        </w:rPr>
        <w:t>E. 8</w:t>
      </w:r>
    </w:p>
    <w:p>
      <w:r>
        <w:t>Per quanto precede e per quanto ammissibile, il ricorso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