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182/2014 vom 26. Juli 2014</w:t>
      </w:r>
    </w:p>
    <w:p>
      <w:r>
        <w:t>Bundesgericht, 2014-07-26, DE</w:t>
      </w:r>
    </w:p>
    <w:p>
      <w:r>
        <w:rPr>
          <w:b/>
        </w:rPr>
        <w:t xml:space="preserve">Quelle: </w:t>
      </w:r>
      <w:r>
        <w:t>https://mcp.opencaselaw.ch/entscheid/bger_2C_182_2014</w:t>
      </w:r>
    </w:p>
    <w:p>
      <w:r>
        <w:t>FR: TF 2C 182/2014 du 26 juillet 2014</w:t>
      </w:r>
    </w:p>
    <w:p>
      <w:r>
        <w:t>IT: TF 2C 182/2014 del 26 luglio 2014</w:t>
      </w:r>
    </w:p>
    <w:p>
      <w:pPr>
        <w:pStyle w:val="Heading2"/>
      </w:pPr>
      <w:r>
        <w:t>Regeste</w:t>
      </w:r>
    </w:p>
    <w:p>
      <w:r>
        <w:t>Staats- und Gemeindesteuern 2005 (3. Rechtsgang) und Direkte Bundessteuer 2005 (3. Rechtsgang) | Öffentliche Finanzen &amp; Abgaberecht</w:t>
      </w:r>
    </w:p>
    <w:p>
      <w:pPr>
        <w:pStyle w:val="Heading2"/>
      </w:pPr>
      <w:r>
        <w:t>Erwägungen</w:t>
      </w:r>
    </w:p>
    <w:p>
      <w:r>
        <w:rPr>
          <w:b/>
        </w:rPr>
        <w:t>E. 1</w:t>
      </w:r>
    </w:p>
    <w:p>
      <w:r>
        <w:t>Die Vorinstanz hat für die direkte Bundessteuer und die Staats- und Gemeindesteuer einen gemeinsamen Entscheid gefällt, und die Beschwerdeführer haben diesen in einer einzigen Beschwerde bezüglich beider Steuern angefochten. Praxisgemäss eröffnet das Bundesgericht in solchen Fällen zwei Dossiers, vereinigt jedoch die beiden Verfahren ( Art. 24 BZP in Verbindung mit Art. 71 BGG ).</w:t>
      </w:r>
    </w:p>
    <w:p>
      <w:r>
        <w:rPr>
          <w:b/>
        </w:rPr>
        <w:t>E. 2</w:t>
      </w:r>
    </w:p>
    <w:p>
      <w:r>
        <w:t>Mit der Beschwerde in öffentlich-rechtlichen Angelegenheiten kann u.a. die Verletzung von Bundesrecht (inklusive Bundesverfassungsrecht) und Völkerrecht gerügt werden ( Art. 95 lit. a und b BGG ).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 Sofern der Vorinstanz eine Missachtung formeller Verfahrensgarantien vorgeworfen werden muss, bildet die Kassation ihres Entscheids weiterhin die Regel, zumal die Rechtsunterworfenen grundsätzlich Anspruch auf Einhaltung des Instanzenzugs haben ( BGE 137 I 195 E. 2.7 S. 199). Solche Verfahrensgarantien (u. a. Anspruch auf rechtliches Gehör, Rechtsverweigerung, vgl. Art. 29 Abs. 1 und 2 BV ) sind nach feststehender Rechtsprechung formeller Natur mit der Folge, dass deren Verletzung ungeachtet der materiellen Erfolgsaussichten des Rechtsmittels grundsätzlich zur Aufhebung des mit dem Verfahrensmangel behafteten Entscheids führt ( BGE 137 I 195 E. 2.2 S. 197).</w:t>
      </w:r>
    </w:p>
    <w:p>
      <w:r>
        <w:rPr>
          <w:b/>
        </w:rPr>
        <w:t>E. 3</w:t>
      </w:r>
    </w:p>
    <w:p>
      <w:r>
        <w:t>Zulässigkeitsvoraussetzung für eine Beschwerde an das Bundesgericht ist hingegen unter anderem ein aktuelles, praktisches Rechtsschutzinteresse an den gestellten Begehren ( Art. 89 Abs. 1 lit. c BGG ; BGE 137 II 40 E. 2.1 S. 41 f. ; 135 I 79 E. 1.1 S. 81).</w:t>
      </w:r>
    </w:p>
    <w:p>
      <w:r>
        <w:rPr>
          <w:b/>
        </w:rPr>
        <w:t>E. 3.1</w:t>
      </w:r>
    </w:p>
    <w:p>
      <w:r>
        <w:t>Die Beschwerdeführer beantragen nicht eine Änderung ihrer vom Steuerrekursgericht vorgenommenen und vom Verwaltungsgericht bestätigten Einschätzung bzw. Veranlagung, sondern die Rückweisung an das kantonale Steueramt. Sie begründen dieses Begehren mit drei Argumenten: Entgegen der Anweisung der Steuerrekurskommission in ihrem Urteil vom 23. September 2010 habe das Steueramt in der Folge nicht einen Einschätzungs- bzw. Veranlagungsentscheid, sondern direkt einen Einspracheentscheid gefällt; es fehle damit an einem Einschätzungs- bzw. Veranlagungsentscheid als Prozessvoraussetzung für die nachfolgenden Rechtsmittelentscheide. Sodann habe das Steueramt mit seinen Einspracheentscheiden eine Rechtsverweigerung begangen, indem es sich nicht an die Vorgaben im Rückweisungsentscheid vom 3. März 2010 gehalten habe. Schliesslich sei durch das Verfahren vor den kantonalen Instanzen das Beschleunigungsgebot verletzt worden, da die Rekurskommission die Sache an die Steuerverwaltung zurückgewiesen habe anstatt selber zu entscheiden.</w:t>
      </w:r>
    </w:p>
    <w:p>
      <w:r>
        <w:rPr>
          <w:b/>
        </w:rPr>
        <w:t>E. 3.2</w:t>
      </w:r>
    </w:p>
    <w:p>
      <w:r>
        <w:t>Es ist unerfindlich, worin ein schutzwürdiges praktisches Rechtsschutzinteresse der Beschwerdeführer an einer antragsgemässen Aufhebung des angefochtenen Entscheids und Zurückweisung an das Steueramt liegen soll: Ein anfänglicher Einschätzungs- bzw. Veranlagungsentscheid als Sachurteilsvoraussetzung des gesamten nachfolgenden Rechtsmittelverfahrens liegt mit den Entscheiden des Steueramtes vom 3. September 2008 (Staats- und Gemeindesteuer) bzw. 19. September 2008 (direkte Bundessteuer) vor. Die Zurückweisung an das Steueramt zum Erlass eines erneuten Einschätzungs- bzw. Veranlagungsentscheids anstatt eines Einspracheentscheids wäre ein prozessualer Leerlauf. Der Antrag erstaunt umso mehr, als die Beschwerdeführer gleichzeitig rügen, das kantonale Verfahren habe das Beschleunigungsgebot verletzt; die Gutheissung ihres Antrags würde zu einer erneuten sinnlosen Verzögerung führen. Im Übrigen besteht kein praktisches Rechtsschutzinteresse mehr an einer Rüge der Verletzung des Beschleunigungsgebots, nachdem der Entscheid in der Sache ergangen ist (vgl. BGE 130 II 312 E. 5.3 S. 333 sowie Urteil 8C_244/2013 vom 30. September 2013 E. 2). Ebenso gegenstandslos ist die Kritik, das Steueramt habe bei seinem erneuten Entscheid die Vorgaben im Rückweisungsentscheid missachtet: Dieser Entscheid wurde durch den reformatorischen Entscheid des Steuerrekursgerichts vom 30. Januar 2013 ersetzt und steht nicht mehr zur Diskussion.</w:t>
      </w:r>
    </w:p>
    <w:p>
      <w:r>
        <w:rPr>
          <w:b/>
        </w:rPr>
        <w:t>E. 4</w:t>
      </w:r>
    </w:p>
    <w:p>
      <w:r>
        <w:t>Auf die Beschwerden ist daher nicht einzutreten. Die Beschwerdeführer tragen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