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2C_181/2020 vom 10. August 2020</w:t>
      </w:r>
    </w:p>
    <w:p>
      <w:r>
        <w:t>Bundesgericht, 2020-08-10, FR</w:t>
      </w:r>
    </w:p>
    <w:p>
      <w:r>
        <w:rPr>
          <w:b/>
        </w:rPr>
        <w:t xml:space="preserve">Quelle: </w:t>
      </w:r>
      <w:r>
        <w:t>https://mcp.opencaselaw.ch/entscheid/bger_2C_181_2020</w:t>
      </w:r>
    </w:p>
    <w:p>
      <w:r>
        <w:t>FR: TF 2C_181/2020 du 10 août 2020</w:t>
      </w:r>
    </w:p>
    <w:p>
      <w:r>
        <w:t>IT: TF 2C_181/2020 del 10 agosto 2020</w:t>
      </w:r>
    </w:p>
    <w:p>
      <w:pPr>
        <w:pStyle w:val="Heading2"/>
      </w:pPr>
      <w:r>
        <w:t>Erwägungen</w:t>
      </w:r>
    </w:p>
    <w:p>
      <w:r>
        <w:rPr>
          <w:b/>
        </w:rPr>
        <w:t>E. 1</w:t>
      </w:r>
    </w:p>
    <w:p>
      <w:r>
        <w:t>La Cour de justice a rendu un seul arrêt valant tant pour l'ICC que pour l'IFD du recourant, ce qui est en principe admissible, dès lors qu'il ressort clairement dudit arrêt et du recours que le litige porte sur les deux catégories d'impôts (arrêt 2C_444/2018 du 31 mai 2019 consid. 1).</w:t>
      </w:r>
    </w:p>
    <w:p>
      <w:r>
        <w:rPr>
          <w:b/>
        </w:rPr>
        <w:t>E. 2</w:t>
      </w:r>
    </w:p>
    <w:p>
      <w:r>
        <w:t>L'arrêt attaqué est une décision finale ( art. 90 LTF ), rendue en dernière instance cantonale par un tribunal supérieur ( art. 86 al. 1 let . d et al. 2 LTF), dans une cause de droit public ( art. 82 let. a LTF ) qui ne tombe pas sous le coup des exceptions de l' art. 83 LTF . La voie du recours en matière de droit public est donc ouverte (cf. également les art. 146 de la loi fédérale sur l'impôt fédéral direct du 14 décembre 1990 [LIFD; RS 642.11] et 73 al. 1 de la loi fédérale du 14 décembre 1990 sur l'harmonisation des impôts directs des cantons et des communes [LHID; RS 642.14]).</w:t>
      </w:r>
    </w:p>
    <w:p>
      <w:r>
        <w:t>Le recours a en outre été déposé en temps utile ( art. 100 al. 1 LTF ) et dans les formes requises ( art. 42 LTF ) par la contribuable destinataire de l'arrêt entrepris qui a un intérêt digne de protection à son annulation ou à sa modification et a partant la qualité pour recourir ( art. 89 al. 1 LTF ). Il est donc recevable.</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2C_793/2018 du 13 mars 2019 consid. 2).</w:t>
      </w:r>
    </w:p>
    <w:p>
      <w:r>
        <w:t>En l'occurrence, la recourante invoque une constatation arbitraire des faits fondée sur la (non) prise en compte par la Cour de justice d'une pièce à son avis déterminante pour l'issue de la cause (offre de financement du Crédit Suisse du 7 juillet 2017, pièce 104 du dossier cantonal). Cette critique sera examinée ci-dessous (infra consid. 4). Pour le reste, dans la mesure où la recourante présente une argumentation partiellement appellatoire, en complétant ou en modifiant librement l'état de fait retenu dans l'arrêt entrepris, sans exposer en quoi les conditions qui viennent d'être rappelées seraient réunies, le Tribunal fédéral ne peut pas en tenir compte. Il statuera donc sur la base des faits tels qu'ils ont été constatés dans l'arrêt attaqué.</w:t>
      </w:r>
    </w:p>
    <w:p>
      <w:r>
        <w:rPr>
          <w:b/>
        </w:rPr>
        <w:t>E. 3.2</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arrêts 2C_444/2018 du 31 mai 2019 consid. 3.2 et 2C_797/2017 du 19 mars 2018 consid. 2).</w:t>
      </w:r>
    </w:p>
    <w:p>
      <w:r>
        <w:rPr>
          <w:b/>
        </w:rPr>
        <w:t>E. 4</w:t>
      </w:r>
    </w:p>
    <w:p>
      <w:r>
        <w:t>La recourante invoque une constatation manifestement inexacte des faits découlant d'une appréciation arbitraire des preuves de la part de l'autorité précédente. De l'avis de l'intéressée, la Cour de justice aurait "ignor[é]" (recours, p. 12), respectivement n'aurait pas tenu compte (recours, p. 15), de l'offre de financement du Crédit Suisse du 7 juillet 2017 produite par la contribuable devant cette autorité (pièce 104 du dossier cantonal). Ce document aurait été propre à démontrer le caractère non insolite du prêt accordé par la holding et, partant, à exclure toute prestation appréciable en argent fondée sur ledit prêt.</w:t>
      </w:r>
    </w:p>
    <w:p>
      <w:r>
        <w:rPr>
          <w:b/>
        </w:rPr>
        <w:t>E. 4.1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4.2</w:t>
      </w:r>
    </w:p>
    <w:p>
      <w:r>
        <w:t>En l'espèce, contrairement à l'avis de la recourante, la Cour de justice a tenu compte dans son arrêt de l'offre de financement du Crédit Suisse produite par l'intéressée, en mentionnant clairement ce document. L'autorité précédente a toutefois considéré que celui-ci n'était pas suffisant à démontrer que le prêt accordé par la holding était conforme au principe de pleine concurrence (cf. arrêt entrepris, p. 16 s.). Dans ces circonstances, la critique relative à l'établissement arbitraire des faits ne peut qu'être rejetée, étant précisé que cela ne préjuge en rien de la question de savoir si c'est à juste titre que la Cour de justice a considéré que le prêt litigieux n'aurait pas été octroyé par un tiers aux mêmes conditions, laquelle sera examinée ci-dessous (consid. 5).</w:t>
      </w:r>
    </w:p>
    <w:p>
      <w:r>
        <w:t>I. Impôt fédéral direct</w:t>
      </w:r>
    </w:p>
    <w:p>
      <w:r>
        <w:rPr>
          <w:b/>
        </w:rPr>
        <w:t>E. 5</w:t>
      </w:r>
    </w:p>
    <w:p>
      <w:r>
        <w:t>Le présent litige porte sur le point de savoir si la recourante, en obtenant de la holding (son actionnaire unique) un prêt à un taux d'intérêt de 3,75% en 2013, a procédé à une distribution dissimulée de bénéfice sous la forme d'intérêts excessifs.</w:t>
      </w:r>
    </w:p>
    <w:p>
      <w:r>
        <w:rPr>
          <w:b/>
        </w:rPr>
        <w:t>E. 5.1</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5ème tiret).</w:t>
      </w:r>
    </w:p>
    <w:p>
      <w:r>
        <w:rPr>
          <w:b/>
        </w:rPr>
        <w:t>E. 5.2</w:t>
      </w:r>
    </w:p>
    <w:p>
      <w:r>
        <w:t>Selon la jurisprudence, il y a distribution dissimulée de bénéfice constitutive de prestation appréciable en argent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140 II 88 consid. 4.1 p. 92; cf. arrêts 2C_674/2015 du 26 octobre 2017 consid. 7.1; 2C_124/2016 du 31 janvier 2017 consid. 6.1; 2C_798/2015 du 26 septembre 2016 consid. 2.1; 2C_863/2015 du 24 juillet 2016 consid. 6.1). Il convient ainsi d'examiner si la prestation aurait été accordée dans la même mesure à un tiers étranger à la société, soit si la transaction a respecté le principe de pleine concurrence ("</w:t>
      </w:r>
    </w:p>
    <w:p>
      <w:r>
        <w:t>dealing at arm's length "; ATF 140 II 88 consid. 4.1 p. 92 s.; 138 II 57 consid. 2.2 p. 59 s.).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 ATF 140 II 88 consid. 4.1 p. 93; arrêt 2C_834/2011 du 6 juillet 2012 consid. 2.3).</w:t>
      </w:r>
    </w:p>
    <w:p>
      <w:r>
        <w:rPr>
          <w:b/>
        </w:rPr>
        <w:t>E. 5.3</w:t>
      </w:r>
    </w:p>
    <w:p>
      <w:r>
        <w:t>Lorsqu'une société anonyme obtient un prêt de son actionnaire, ce prêt ne respecte pas le principe de pleine concurrence si le taux d'intérêt appliqué est supérieur au taux du marché. La prestation appréciable en argent se mesure alors par la différence entre le taux d'intérêt conforme au principe de pleine concurrence et le taux effectivement appliqué (cf.,</w:t>
      </w:r>
    </w:p>
    <w:p>
      <w:r>
        <w:t>mutatis mutandis , ATF 140 II 88 consid. 5 p. 94).</w:t>
      </w:r>
    </w:p>
    <w:p>
      <w:r>
        <w:rPr>
          <w:b/>
        </w:rPr>
        <w:t>E. 5.4</w:t>
      </w:r>
    </w:p>
    <w:p>
      <w:r>
        <w:t>L' AFC édicte chaque année des directives sur les taux d'intérêt déterminants pour le calcul des prestations appréciables en argent, publiées sous la forme de lettres circulaires, destinées à simplifier la mise en oeuvre du principe de pleine concurrence en relation avec les taux d'intérêt de prêts conclus en francs suisses entre des sociétés et leurs actionnaires ou associés (ou leurs proches). Le Tribunal fédéral n'est pas lié par les lettres circulaires susmentionnées, qui ne font pas partie du droit fédéral, mais il ne s'en écarte pas lorsqu'elles permettent une application correcte des normes légales dans un cas concret (cf. ATF 140 II 88 consid. 5.1.2 p. 95; arrêt 2C_443/2017 du 15 janvier 2018 consid. 4.4).</w:t>
      </w:r>
    </w:p>
    <w:p>
      <w:r>
        <w:rPr>
          <w:b/>
        </w:rPr>
        <w:t>E. 5.5</w:t>
      </w:r>
    </w:p>
    <w:p>
      <w:r>
        <w:t>La lettre circulaire 2013, applicable à la période fiscale en cause, prévoit des taux d'intérêt déterminants maximums en cas de prêts accordés par les actionnaires ou associés (ch. 2). A ce sujet, ce document fixe des taux d'intérêt maximums différents selon le type de crédit octroyé (crédit immobilier ou crédit d'exploitation). La méthode de calcul peut être résumée de la façon suivante:</w:t>
      </w:r>
    </w:p>
    <w:p>
      <w:r>
        <w:t>Crédits immobiliers (ch. 2.1)</w:t>
      </w:r>
    </w:p>
    <w:p>
      <w:r>
        <w:t>construction de logements et agriculture</w:t>
      </w:r>
    </w:p>
    <w:p>
      <w:r>
        <w:t>industrie, arts et métiers</w:t>
      </w:r>
    </w:p>
    <w:p>
      <w:r>
        <w:t>sur un crédit immobilier égal à la première hypothèque, soit sur une première tranche correspondant aux 2/3 de la valeur vénale de l'immeuble</w:t>
      </w:r>
    </w:p>
    <w:p>
      <w:r>
        <w:t>1,5%</w:t>
      </w:r>
    </w:p>
    <w:p>
      <w:r>
        <w:t>2%</w:t>
      </w:r>
    </w:p>
    <w:p>
      <w:r>
        <w:t>sur le solde</w:t>
      </w:r>
    </w:p>
    <w:p>
      <w:r>
        <w:t>2,25%</w:t>
      </w:r>
    </w:p>
    <w:p>
      <w:r>
        <w:t>2,75%</w:t>
      </w:r>
    </w:p>
    <w:p>
      <w:r>
        <w:t>Crédits d'exploitation (ch. 2.2)</w:t>
      </w:r>
    </w:p>
    <w:p>
      <w:r>
        <w:t>commerce et industrie</w:t>
      </w:r>
    </w:p>
    <w:p>
      <w:r>
        <w:t>3,75%</w:t>
      </w:r>
    </w:p>
    <w:p>
      <w:r>
        <w:t>holdings et sociétés de gérance de fortune</w:t>
      </w:r>
    </w:p>
    <w:p>
      <w:r>
        <w:t>3,25%</w:t>
      </w:r>
    </w:p>
    <w:p>
      <w:r>
        <w:rPr>
          <w:b/>
        </w:rPr>
        <w:t>E. 5.6.1</w:t>
      </w:r>
    </w:p>
    <w:p>
      <w:r>
        <w:t>En l'espèce, pour déterminer les intérêts passifs déductibles et ceux devant au contraire être ajoutés au bénéfice de la recourante pour la période fiscale 2013, la Cour de justice s'est fondée sur le taux d'intérêt maximum indiqué dans la lettre circulaire 2013 pour les crédits immobiliers (2% - 2,75%). L'autorité précédente est parvenue à cette conclusion en relevant notamment que, si la contribuable avait mis en gage l'immeuble de U.________, elle aurait pu obtenir d'un tiers indépendant un prêt à un taux d'intérêt inférieur à celui appliqué au prêt de la holding (3,75%). En outre, selon les juges cantonaux, les documents produits par l'intéressée n'étaient pas propres à démontrer que le taux d'intérêt de 3,75% appliqué au prêt en question était conforme au principe de pleine concurrence. De l'avis de la Cour de justice, ce taux (favorable à la créancière) était dû "à la proximité des liens économiques" entre la contribuable et la holding.</w:t>
      </w:r>
    </w:p>
    <w:p>
      <w:r>
        <w:rPr>
          <w:b/>
        </w:rPr>
        <w:t>E. 5.6.2</w:t>
      </w:r>
    </w:p>
    <w:p>
      <w:r>
        <w:t>Selon la recourante, en revanche, le taux d'intérêt maximum applicable au prêt litigieux serait celui prévu pour les crédits d'exploitation (3,75%). La contribuable soutient, en substance, que, faute d'avoir été garanti par gage immobilier, le prêt octroyé par la holding ne pourrait pas être qualifié de "crédit immobilier" au sens de la lettre circulaire 2013. En outre, d'après l'intéressée, elle aurait de toute manière produit devant la Cour de justice des offres de financement propres à démontrer que le taux d'intérêt appliqué au prêt en question était conforme au principe de pleine concurrence. La recourante invoque également une violation du principe de la confiance.</w:t>
      </w:r>
    </w:p>
    <w:p>
      <w:r>
        <w:rPr>
          <w:b/>
        </w:rPr>
        <w:t>E. 5.6.3</w:t>
      </w:r>
    </w:p>
    <w:p>
      <w:r>
        <w:t>Le raisonnement de la recourante ne peut être suivi. En effet, la raison pour laquelle la lettre circulaire 2013 prévoit des taux d'intérêt maximums plus bas pour les crédits immobiliers (2% - 2,75% [industrie, arts et métiers]) que pour les crédits d'exploitation (3,75% [commerce et industrie]) réside dans le fait que, en règle générale, par rapport à une dette chirographaire, le taux d'intérêt appliqué à une dette garantie par gage est plus bas. Ainsi, lorsqu'elle en a la possibilité, une société qui emprunte de l'argent garantit normalement sa dette par le biais d'un gage, afin de profiter d'un taux d'intérêt plus favorable, sauf si elle a des raisons pour ne pas le faire. En l'espèce, le prêt accordé par la holding à la recourante n'était assorti d'aucune garantie hypothécaire. L'arrêt entrepris constate toutefois que la contribuable aurait pu mettre en gage l'immeuble de U.________ et obtenir ainsi un prêt à un taux d'intérêt inférieur à celui appliqué au prêt de la holding (3,75%), mais qu'elle n'a pas procédé de la sorte et n'a apporté aucune explication justifiant l'absence de cette démarche. Dans son recours auprès du Tribunal fédéral, l'intéressée n'expose pas non plus les raisons de ce choix, qui apparaît très insolite et ne peut s'expliquer qu'en raison de la proximité entre la société et la holding.</w:t>
      </w:r>
    </w:p>
    <w:p>
      <w:r>
        <w:t>Contrairement à ce qu'elle semble soutenir, les offres de financement produites par la recourante ne lui sont en outre d'aucun secours. En effet, tel que le relève également la Cour de justice, celles-ci ne démontrent nullement qu'un tiers indépendant n'aurait pas accordé à la contribuable un prêt garanti par gage immobilier à un taux inférieur à celui appliqué au prêt litigieux, mais se limitent à proposer l'octroi de prêts à des conditions différentes (cautionnement, garantie du groupe). N'en déplaise à la recourante, ces documents n'indiquent pas - même de manière implicite - que la mise en gage de l'immeuble de U.________ n'aurait pas représenté une garantie suffisante pour obtenir un crédit immobilier à un taux d'intérêt plus avantageux que celui appliqué au prêt de la holding.</w:t>
      </w:r>
    </w:p>
    <w:p>
      <w:r>
        <w:t>Dans ces circonstances, c'est à juste titre que la Cour de justice a considéré que le taux appliqué au prêt litigieux (3,75%) n'était pas conforme au principe de pleine concurrence et qu'il fallait plutôt en l'espèce, faute de raison valable pour s'en écarter (cf. supra consid. 5.4), se référer au taux d'intérêt prévu au ch. 2.1 de la lettre circulaire 2013 pour les "crédits immobiliers - industrie, arts et métiers", soit 2% - 2,75%. Il en découle que, en obtenant de la holding un prêt à un taux d'intérêt de 3,75% en 2013, la recourante a procédé à une distribution dissimulée de bénéfice sous la forme d'intérêts excessifs.</w:t>
      </w:r>
    </w:p>
    <w:p>
      <w:r>
        <w:rPr>
          <w:b/>
        </w:rPr>
        <w:t>E. 6</w:t>
      </w:r>
    </w:p>
    <w:p>
      <w:r>
        <w:t>La recourante mentionne les art. 5 et 9 Cst. et invoque une violation des principes de la confiance et de la sécurité du droit (recours, p. 15), fondée sur le fait que l'administration cantonale aurait qualifié le prêt litigieux de crédit d'exploitation pour la période fiscale 2012 et de crédit immobilier pour la période fiscale 2013. De l'avis de la contribuable, cette modification de la " qualification fiscale d'un même fait entre les années 2012 et 2013 " serait contraire aux principes susmentionnés.</w:t>
      </w:r>
    </w:p>
    <w:p>
      <w:r>
        <w:t>Par cette critique, l'intéressée perd de vue que, en matière fiscale, en application du principe de l'étanchéité (ou de l'indépendance) des exercices comptables et des périodes fiscales, l'autorité n'est pas liée pour l'avenir par une taxation notifiée pour une période fiscale déterminée; à ce défaut, elle risquerait de se trouver indéfiniment liée par une erreur ou une omission qu'elle aurait pu commettre initialement (cf. arrêts 2C_888/2014 du 7 juin 2015 consid. 7.2 et 2C_383/2011 du 31 octobre 2011 consid. 3.3).</w:t>
      </w:r>
    </w:p>
    <w:p>
      <w:r>
        <w:t>Dans ces circonstances, le grief de la recourante ne peut qu'être écarté.</w:t>
      </w:r>
    </w:p>
    <w:p>
      <w:r>
        <w:rPr>
          <w:b/>
        </w:rPr>
        <w:t>E. 7</w:t>
      </w:r>
    </w:p>
    <w:p>
      <w:r>
        <w:t>Il ressort de ce qui précède que le recours doit être rejeté s'agissant de l'impôt fédéral direct 2013.</w:t>
      </w:r>
    </w:p>
    <w:p>
      <w:r>
        <w:t>II. Impôt cantonal et communal</w:t>
      </w:r>
    </w:p>
    <w:p>
      <w:r>
        <w:rPr>
          <w:b/>
        </w:rPr>
        <w:t>E. 8</w:t>
      </w:r>
    </w:p>
    <w:p>
      <w:r>
        <w:t>La jurisprudence rendue en matière d'impôt fédéral direct est également valable pour l'application des dispositions cantonales harmonisées correspondantes ( ATF 140 II 88 consid. 10 p. 101; arrêts 2C_896/2018 du 29 août 2019 consid. 6 et 2C_927/2013 du 21 mai 2014 consid. 6). Il peut ainsi être renvoyé, s'agissant de l'impôt cantonal et communal, à la motivation développée en matière d'impôt fédéral direct. Le recours doit par conséquent aussi être rejeté s'agis- sant de l'impôt cantonal et communal 2013.</w:t>
      </w:r>
    </w:p>
    <w:p>
      <w:r>
        <w:rPr>
          <w:b/>
        </w:rPr>
        <w:t>E. 9</w:t>
      </w:r>
    </w:p>
    <w:p>
      <w:r>
        <w:t>En résumé, le recours doit être rejeté tant en ce qui concerne l'IFD 2013 que l'ICC 2013.</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