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2C_178/2013 vom 26. Februar 2013</w:t>
      </w:r>
    </w:p>
    <w:p>
      <w:r>
        <w:t>Bundesgericht, 2013-02-26, FR</w:t>
      </w:r>
    </w:p>
    <w:p>
      <w:r>
        <w:rPr>
          <w:b/>
        </w:rPr>
        <w:t xml:space="preserve">Quelle: </w:t>
      </w:r>
      <w:r>
        <w:t>https://mcp.opencaselaw.ch/entscheid/bger_2C_178_2013</w:t>
      </w:r>
    </w:p>
    <w:p>
      <w:r>
        <w:t>FR: TF 2C_178/2013 du 26 février 2013</w:t>
      </w:r>
    </w:p>
    <w:p>
      <w:r>
        <w:t>IT: TF 2C_178/2013 del 26 febbraio 2013</w:t>
      </w:r>
    </w:p>
    <w:p>
      <w:pPr>
        <w:pStyle w:val="Heading2"/>
      </w:pPr>
      <w:r>
        <w:t>Erwägungen</w:t>
      </w:r>
    </w:p>
    <w:p>
      <w:r>
        <w:rPr>
          <w:b/>
        </w:rPr>
        <w:t>E. 1.1</w:t>
      </w:r>
    </w:p>
    <w:p>
      <w:r>
        <w:t>En matière de mesures de contrainte, le recours en matière de droit public est en principe ouvert ( art. 82 ss LTF ; arrêt 2C_624/2011 consid. 1.1 et la jurisprudence citée). Il est en revanche irrecevable contre les décisions en matière de droit des étrangers qui concernent le renvoi ( art. 83 let . c ch. 4 in fine LTF).</w:t>
      </w:r>
    </w:p>
    <w:p>
      <w:r>
        <w:rPr>
          <w:b/>
        </w:rPr>
        <w:t>E. 1.2</w:t>
      </w:r>
    </w:p>
    <w:p>
      <w:r>
        <w:t>La conclusion tendant à l'annulation de l'arrêt du 18 février 2013 du Tribunal administratif de première instance est irrecevable en rai-son de l'effet dévolutif du recours auprès de la Cour de justice du canton de Genève.</w:t>
      </w:r>
    </w:p>
    <w:p>
      <w:r>
        <w:rPr>
          <w:b/>
        </w:rPr>
        <w:t>E. 1.3</w:t>
      </w:r>
    </w:p>
    <w:p>
      <w:r>
        <w:t>La conclusion tendant à ce que le Tribunal fédéral constate la violation du principe de motivation n'est pas une conclusion constatatoire, mais une conclusion "préparatoire" ou "préjudicielle", autrement dit un grief qui pourrait constituer un motif d'annulation de l'arrêt entrepris. En tant que telle, elle est irrecevable. Considérée comme une conclusion en constatation, elle serait également irrecevable, du moment que l'instance précédente a rendu une décision formatrice (cf. sur ces questions. arrêt 2C_162/2010 du 21 juillet 2010 consid. 2 et la jurisprudence citée).</w:t>
      </w:r>
    </w:p>
    <w:p>
      <w:r>
        <w:rPr>
          <w:b/>
        </w:rPr>
        <w:t>E. 2.1</w:t>
      </w:r>
    </w:p>
    <w:p>
      <w:r>
        <w:t>Lorsqu'une décision de renvoi ou d'expulsion de première instance a été notifiée, l'autorité compétente peut, afin d'en assurer l'exécution, mettre en détention la personne concernée si des éléments concrets font craindre que la personne concernée entende se soustraire au renvoi ou à l'expulsion, en particulier parce qu'elle ne se soumet pas à son obligation de collaborer en vertu de l'art. 90 de la présente loi ou de l'art. 8, al. 1, let. a, ou al. 4, LAsi ou si son comportement permet de conclure qu'elle se refuse à obtempérer aux instructions des autorités (art. 76 al. 1 let. b ch. 3 et 4 LEtr).</w:t>
      </w:r>
    </w:p>
    <w:p>
      <w:r>
        <w:t>Le recourant ne conteste pas qu'il fait l'objet d'une décision de renvoi exécutoire ni que les conditions de la détention telles qu'énoncées par les art. 76 al. 1 let. b ch. 3 et 4 LEtr sont réunies.</w:t>
      </w:r>
    </w:p>
    <w:p>
      <w:r>
        <w:rPr>
          <w:b/>
        </w:rPr>
        <w:t>E. 3.1</w:t>
      </w:r>
    </w:p>
    <w:p>
      <w:r>
        <w:t>Selon l'art. 79 LEtr, la détention en vue du renvoi ne peut excéder six mois au total. La durée maximale peut être prolongée de 12 mois au plus, notamment si la personne concernée ne coopère pas avec l'autorité compétente. S'il s'avère en particulier que l'exécution du renvoi ou de l'expulsion est impossible pour des raisons juridiques ou matérielles, la détention doit être levée (cf. art. 80 al. 6 let. a LEtr), respectivement la prolongation refusée. La jurisprudence a récemment rappelé que ces raisons doivent être importantes ("triftige Gründe") et qu'il ne suffit pas que l'exécution du renvoi soit momentanément impossible (par exemple faute de papiers d'identité), tout en restant envisageable dans un délai prévisible; l'exécution du renvoi doit être qualifiée d'impossible lorsque le rapatriement est pratiquement exclu, même si l'identité et la nationalité de l'étranger sont connues et que les papiers voulus peuvent être obtenus (arrêts 2C_538/2010 du 19 juillet 2010 consid. 3.1; 2C_386/2010 du 1er juin 2010 consid. 4 et 2C_473/2010 du 25 juin 2010 consid. 4.1).</w:t>
      </w:r>
    </w:p>
    <w:p>
      <w:r>
        <w:rPr>
          <w:b/>
        </w:rPr>
        <w:t>E. 3.2</w:t>
      </w:r>
    </w:p>
    <w:p>
      <w:r>
        <w:t>En l'espèce, le recourant fait valoir que le Tribunal administratif de première instance n'a pas examiné sa situation médicale sous l'angle de l'art. 80 al. 6 LEtr et se plaint à cet égard d'une violation de son droit à une décision motivée tiré de l' art. 29 al. 2 Cst. Ce grief doit être rejeté dans la mesure où il est recevable (cf. consid. 1.2 ci-dessus). En effet, l'instance précédente a exposé en détail les motifs pour lesquels le syndrome de stress post-traumatique lié à un état dépressif sévère, à des idées suicidaires et des angoisses allant jusqu'à des hallucinations visuelles et cénesthésiques ne rendaient pas matériellement impossible l'exécution du renvoi, contrairement à ce qu'affirmaient les certificats médicaux produits en procédure cantonale selon lesquels le recourant était inapte au vol. Le recourant l'a bien compris puisqu'il réitère le grief d'impossibilité matérielle d'exécuter le renvoi.</w:t>
      </w:r>
    </w:p>
    <w:p>
      <w:r>
        <w:t>Ce grief doit être rejeté. Il peut à cet égard être renvoyé aux considérants de l'arrêt attaqué ( art. 109 al. 3 LTF ). Au surplus, les certificats médicaux produits à l'appui de la situation de santé psychique du recourant font état d'un suivi médicamenteux. Dans ces conditions, rien ne s'oppose à ce que le renvoi soit effectué par vol spécial sous surveillance médicale et contrôle par un organisme indépendant durant le vol de rapatriement (cf. à ce sujet arrêt 2C_332/2012 du 3 mai 2012, consid. 2.2.2) lorsque, comme en l'espèce, il est établi, par avis médical, que l'étranger souffre de troubles dans sa santé physique ou mentale et qu'il faut s'attendre à des complications d'ordre médical en cours de vol. Il n'est en effet pas établi par les certificats en cause que la médication actuellement administrée n'atteindrait pas les effets stabilisateurs escomptés ni l'impossibilité qu'il y aurait d'augmenter les prescriptions déjà mises en place par les médecins traitants en cas d'aggravation prévisible et temporaire - la durée du vol - des troubles en cause. Le recours est par conséquent rejeté sur ce point.</w:t>
      </w:r>
    </w:p>
    <w:p>
      <w:r>
        <w:rPr>
          <w:b/>
        </w:rPr>
        <w:t>E. 4.1</w:t>
      </w:r>
    </w:p>
    <w:p>
      <w:r>
        <w:t>Selon le principe de célérité, les démarches nécessaires à l'exécution du renvoi ou de l'expulsion doivent être entreprises sans tarder (art. 76 al. 4 LEtr). Dans tous les cas, la durée de la détention, envisagée dans son ensemble, doit apparaître proportionnée ( ATF 133 II 97 consid. 2.2 p. 100; 130 II 56 consid. 1 p. 58). Il convient en particulier d'examiner, en fonction des circonstances concrètes, si la détention en vue d'assurer l'exécution d'un renvoi au sens de l' art. 5 par. 1 let . f CEDH est (encore) adaptée et nécessaire (cf. arrêt 2C_756/2009 du 15 décembre 2009 consid. 2.1; ATF 134 I 92 consid. 2.3.1 p. 96 s.).</w:t>
      </w:r>
    </w:p>
    <w:p>
      <w:r>
        <w:rPr>
          <w:b/>
        </w:rPr>
        <w:t>E. 4.2</w:t>
      </w:r>
    </w:p>
    <w:p>
      <w:r>
        <w:t>En l'espèce, il ressort de l'arrêt attaqué que le recourant n'a jamais interjeté de recours recevable auprès du Tribunal administratif fédéral contre les décisions qui ont été rendues à son égard en matière d'asile, qu'en revanche, il a multiplié les demandes de reconsidération de la décision de refus d'asile (23 août 2012, 10 décembre 2012) et qu'il s'est lui-même opposé plusieurs fois à son renvoi par les vols des 16 novembre 2012, 17 décembre 2012 et 20 février 2013 déjà réservé le 16 janvier 2013. Il résulte de ces circonstances que ni le principe de célérité ni le principe de proportionnalité n'ont été violés, les autorités ayant agi avec diligence, compte tenu de l'attitude du recourant qui ne peut s'en prendre qu'à lui-même s'agissant de la durée des procédures qu'il a lui-même engagées en vain.</w:t>
      </w:r>
    </w:p>
    <w:p>
      <w:r>
        <w:rPr>
          <w:b/>
        </w:rPr>
        <w:t>E. 5</w:t>
      </w:r>
    </w:p>
    <w:p>
      <w:r>
        <w:t>Les considérants qui précèdent conduisent au rejet du recours dans la mesure où il est recevable, sans échange d'écritures ( art. 102 al. 1 LTF ). Le recourant sollicite l'octroi de l'assistance judiciaire. Si ce dernier est certes dépourvu de toutes ressources financières, son recours était en revanche dénué de chances de succès, de sorte que la requête est rejetée. Il se justifie en revanche de ne pas percevoir de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