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2C_176/2023 vom 29. August 2023</w:t>
      </w:r>
    </w:p>
    <w:p>
      <w:r>
        <w:t>Bundesgericht, 2023-08-29, FR</w:t>
      </w:r>
    </w:p>
    <w:p>
      <w:r>
        <w:rPr>
          <w:b/>
        </w:rPr>
        <w:t xml:space="preserve">Quelle: </w:t>
      </w:r>
      <w:r>
        <w:t>https://mcp.opencaselaw.ch/entscheid/bger_2C_176_2023</w:t>
      </w:r>
    </w:p>
    <w:p>
      <w:r>
        <w:t>FR: TF 2C_176/2023 du 29 août 2023</w:t>
      </w:r>
    </w:p>
    <w:p>
      <w:r>
        <w:t>IT: TF 2C_176/2023 del 29 agosto 2023</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La voie du recours en matière de droit public est donc en principe ouverte en vertu des art. 82 ss LTF . La désignation erronée du recours, intitulé "recours de droit public", sera sans conséquences pour la recourante (cf. ATF 138 I 367 consid. 1.1). Au surplus, déposé en temps utile ( art. 100 al. 1 LTF ) et dans les formes prescrites ( art. 42 LTF ), par la recourante qui a la qualité pour recourir ( art. 89 al. 1 LTF ), le présent recours est recevable.</w:t>
      </w:r>
    </w:p>
    <w:p>
      <w:r>
        <w:rPr>
          <w:b/>
        </w:rPr>
        <w:t>E. 2</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toutefois le moyen tiré de la violation de droits fondamentaux, ainsi que celle de dispositions de droit cantonal notamment, que si ce grief a été invoqué et motivé de manière précise par la partie recourante ( art. 106 al. 2 LTF ; cf. ATF 142 V 577 consid. 3.2).</w:t>
      </w:r>
    </w:p>
    <w:p>
      <w:r>
        <w:rPr>
          <w:b/>
        </w:rPr>
        <w:t>E. 3</w:t>
      </w:r>
    </w:p>
    <w:p>
      <w:r>
        <w:t>La recourante se plaint de la violation de son droit d'être entendue, soulevant ainsi un grief de nature formelle qu'il convient d'examiner en premier lieu dans la mesure où il est susceptible d'entraîner l'annulation de la décision attaquée indépendamment des chances de succès du recours sur le fond ( ATF 141 V 495 consid. 2.2 et les arrêts cités). La recourante reproche à la Cour de justice de ne pas s'être prononcée sur le champ d'application des usages gros oeuvre, mentionné à l'art. 2 desdits usages.</w:t>
      </w:r>
    </w:p>
    <w:p>
      <w:r>
        <w:rPr>
          <w:b/>
        </w:rPr>
        <w:t>E. 3.1</w:t>
      </w:r>
    </w:p>
    <w:p>
      <w:r>
        <w:t>La jurisprudence a déduit du droit d'être entendu de l' art. 29 al. 2 Cst. l'obligation pour l'autorité de motiver sa décision, afin que l'intéressé puisse se rendre compte de la portée de celle-ci et l'attaquer en connaissance de cause ( ATF 146 II 335 consid. 5.1; 143 III 65 consid. 5.2; 142 I 135 consid. 2.1; 138 I 232 consid. 5.1).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146 II 335 consid. 5.1; 142 II 154 consid. 4.2; 138 I 232 consid. 5.1 et les références).</w:t>
      </w:r>
    </w:p>
    <w:p>
      <w:r>
        <w:rPr>
          <w:b/>
        </w:rPr>
        <w:t>E. 3.2.1</w:t>
      </w:r>
    </w:p>
    <w:p>
      <w:r>
        <w:t>En l'occurrence, contrairement à ce que soutient la recourante, la Cour de justice se penche sur la question du champ d'application des usages gros oeuvre dans l'arrêt attaqué. Elle retient sur ce point que seule l'activité effective est pertinente et constate que des travaux de coffrage et de terrassement ont été réalisés par l'entreprise, en se basant sur les déclarations d'employés de celle-ci, ainsi que sur les constatations effectuées par la Commission paritaire genevoise du gros oeuvre. La Cour de justice indique également que la recourante avait reconnu en décembre 2021 que les usages gros oeuvre lui étaient applicables. Elle ajoute que, selon la liste du personnel fournie par la recourante, entre juin 2019 et juin 2021, le pourcentage du personnel actif de façon prépondérante dans le domaine du gros oeuvre était supérieur au seuil de 25% retenu par la Commission paritaire genevoise du gros oeuvre pour retenir une activité "prépondérante".</w:t>
      </w:r>
    </w:p>
    <w:p>
      <w:r>
        <w:t>La motivation de l'arrêt attaqué permettait ainsi à la recourante de comprendre pour quelles raisons la Cour de justice avait estimé que les usages gros oeuvre lui étaient applicables et pour quels motifs, elle a rejeté son recours. Elle a ainsi pu contester cet arrêt en connaissance de cause.</w:t>
      </w:r>
    </w:p>
    <w:p>
      <w:r>
        <w:rPr>
          <w:b/>
        </w:rPr>
        <w:t>E. 3.2.2</w:t>
      </w:r>
    </w:p>
    <w:p>
      <w:r>
        <w:t>La recourante reproche également à l'Office cantonal de ne pas avoir examiné l'impossibilité de respecter certains usages sans s'affilier aux conventions collectives de travail correspondantes, ainsi que l'impact de cette impossibilité sur le montant de l'amende et de ne pas avoir déterminé avec précision le champ d'application des usages gros oeuvre.</w:t>
      </w:r>
    </w:p>
    <w:p>
      <w:r>
        <w:t>En raison de l'effet dévolutif du recours à la Cour de justice (cf. ATF 136 II 539 consid. 1.2), la recourante ne peut pas s'en prendre à la décision rendue par l'Office cantonal et donc, dans ce cadre, se plaindre d'une violation de son droit d'être entendue. La critique susmentionnée ne peut dès lors être examinée. En revanche, la recourante peut contester l'arrêt attaqué, en reprochant à la Cour de justice d'avoir rejeté le grief d'une telle violation invoquée devant elle.</w:t>
      </w:r>
    </w:p>
    <w:p>
      <w:r>
        <w:t>A cet égard, la recourante fait valoir que la violation de son droit d'être entendue en lien avec un défaut de motivation de l'amende de 30'000 fr. par l'Office cantonal n'était pas réparable devant la Cour de justice. Or, dans l'arrêt attaqué, la Cour de justice ne conclut pas à une violation du droit d'être entendu sur ce point, ni ne constate une réparation de celle-ci devant elle. Au contraire, la Cour de justice estime que la décision de l'Office cantonal du 16 juin 2022 était suffisamment motivée concernant le fondement et la quotité de la sanction. La recourante n'explique pas en quoi l'argumentation de la Cour de justice serait erronée sur ce point. Par conséquent, faute de motivation suffisante, ce grief ne peut être qu'écarté ( art. 42 et 106 al. 2 LTF ).</w:t>
      </w:r>
    </w:p>
    <w:p>
      <w:r>
        <w:rPr>
          <w:b/>
        </w:rPr>
        <w:t>E. 3.3</w:t>
      </w:r>
    </w:p>
    <w:p>
      <w:r>
        <w:t>Le grief de violation du droit d'être entendu doit partant être rejeté.</w:t>
      </w:r>
    </w:p>
    <w:p>
      <w:r>
        <w:rPr>
          <w:b/>
        </w:rPr>
        <w:t>E. 4</w:t>
      </w:r>
    </w:p>
    <w:p>
      <w:r>
        <w:t>L'objet du litige porte sur les sanctions prononcées à l'encontre de la recourante par l'Office cantonal (refus de délivrer l'attestation visée à l'art. 25 LIRT, exclusion de tous les marchés publics et amende d'un montant de 30'000 fr.) pour non-respect des usages et des prestations sociales des domaines où elle déployait ses activités.</w:t>
      </w:r>
    </w:p>
    <w:p>
      <w:r>
        <w:rPr>
          <w:b/>
        </w:rPr>
        <w:t>E. 5</w:t>
      </w:r>
    </w:p>
    <w:p>
      <w:r>
        <w:t>La recourante dénonce une application arbitraire du droit cantonal, en particulier des art. 3 LAE, 2 des usages du gros oeuvre et 26A al. 2 LIRT.</w:t>
      </w:r>
    </w:p>
    <w:p>
      <w:r>
        <w:rPr>
          <w:b/>
        </w:rPr>
        <w:t>E. 5.1</w:t>
      </w:r>
    </w:p>
    <w:p>
      <w:r>
        <w:t>Comme déjà mentionné, le Tribunal fédéral ne revoit l'interprétation et l'application du droit cantonal que sous l'angle de l'arbitraire (cf.</w:t>
      </w:r>
    </w:p>
    <w:p>
      <w:r>
        <w:t>supra consid. 2).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148 I 145 consid. 6.1; 145 II 32 consid. 5.1).</w:t>
      </w:r>
    </w:p>
    <w:p>
      <w:r>
        <w:rPr>
          <w:b/>
        </w:rPr>
        <w:t>E. 5.2</w:t>
      </w:r>
    </w:p>
    <w:p>
      <w:r>
        <w:t>En l'occurrence, la recourante conteste uniquement l'application des usages du gros oeuvre, sans remettre en question le non-respect des autres usages de la métallurgie du bâtiment et du nettoyage. Elle n'explique pas en quoi la non-application de ces premiers usages aurait une influence sur les mesures prises par l'Office cantonal dans sa décision du 16 juin 2022, confirmée par l'autorité précédente. A cet égard, la Cour de justice retient dans l'arrêt attaqué que les violations des usages de la métallurgie du bâtiment et ceux du nettoyage par la recourante justifient en soi le prononcé d'une sanction administrative. Dans son mémoire de réponse, l'Office cantonal relève également que "les travailleurs qui ne seraient pas visés par les [usages du gros oeuvre] le seraient à l'évidence par les [usages de la métallurgie du bâtiment] en regard des activités déployées de montage de locaux techniques et du champ d'application des [usages de la métallurgie du bâtiment], si bien que la décision du 16 juin 2022 resterait justifiée tant en regard du principe que de la quotité de la sanction". Aussi bien dans son recours que dans sa réplique, la recourante reste muette sur ce point. Elle n'explique ainsi pas en quoi la décision attaquée serait arbitraire dans son résultat. Le recours ne satisfait ainsi pas aux exigences de motivation accrues de l' art. 106 al. 2 LTF .</w:t>
      </w:r>
    </w:p>
    <w:p>
      <w:r>
        <w:t>Fort de ce constat, il n'y a pas lieu d'examiner les griefs d'arbitraire dans l'établissement des faits invoqués par la recourante. En effet, ceux-ci ne portent que sur la problématique de l'application des usages du gros oeuvre et la recourante n'explique pas pour quel motif les faits dont elle conteste l'établissement auraient une influence sur l'issue du litige.</w:t>
      </w:r>
    </w:p>
    <w:p>
      <w:r>
        <w:rPr>
          <w:b/>
        </w:rPr>
        <w:t>E. 5.3</w:t>
      </w:r>
    </w:p>
    <w:p>
      <w:r>
        <w:t>Au surplus, la recourante n'établit pas en quoi l'autorité précédente aurait appliqué le droit cantonal de façon insoutenable concernant l'art. 26A LIRT. Cette disposition prévoit en effet en son al. 1 que les entreprises en infraction aux usages font l'objet des mesures et sanctions prévues aux art. 44A et 45. Selon l'art. 26A al. 2 LIRT, l'art. 45 al. 1 let. a LIRT est applicable lorsqu'une entreprise conteste les usages que l'office entend lui appliquer. L'art. 45 al. 1 let. a LIRT indique que l'office peut prononcer une décision de refus de délivrance de l'attestation visée à l'art. 25 à l'entreprise qui ne respecte pas notamment les conditions minimales de travail et de prestations sociales en usage. La recourante n'explique pas en quoi l'art. 26A LIRT imposerait de procéder préalablement par une procédure de constat comme elle le soutient. La lettre des dispositions invoquées ne va pas dans ce sens.</w:t>
      </w:r>
    </w:p>
    <w:p>
      <w:r>
        <w:rPr>
          <w:b/>
        </w:rPr>
        <w:t>E. 5.4</w:t>
      </w:r>
    </w:p>
    <w:p>
      <w:r>
        <w:t>Par ailleurs, comme déjà mentionné, la Cour de justice a retenu que les usages du gros oeuvre étaient applicables à la recourante notamment après avoir relevé qu'une partie du personnel de celle-ci réalisait des travaux de terrassement et après s'être référée au seuil que la Commission paritaire genevoise du gros oeuvre aurait fixé, concernant le pourcentage du personnel actif dans ce domaine, pour retenir une activité "prépondérante". La recourante n'explique pas en quoi les considérations de la Cour de justice sur ce point résulteraient d'une application arbitraire du droit cantonal. L'argument de la recourante, selon lequel elle serait la seule spécialiste en installation et en construction de piscines de Suisse à devoir respecter la convention collective de travail du gros oeuvre, ne permet pas de conclure au caractère insoutenable de l'argumentation de la Cour de justice.</w:t>
      </w:r>
    </w:p>
    <w:p>
      <w:r>
        <w:t>On relèvera également que la recourante ne conteste pas sous l'angle de l'arbitraire les constatations de faits de l'autorité précédente concernant les activités décrites par plusieurs de ses employés et le seuil retenu par la Commission paritaire genevoise du gros oeuvre. Elle ne s'en prend pas non plus sous cet angle aux constations de ladite commission ni aux pourcentages retenus concernant le personnel actif dans le domaine concerné.</w:t>
      </w:r>
    </w:p>
    <w:p>
      <w:r>
        <w:t>Enfin, la Cour de justice explique de façon convaincante pour quels motifs les conclusions de son arrêt du 11 février 2020 en matière d'usages du gros oeuvre concernant la recourante ne pouvaient plus être suivies dans le présent cas (évolution de la situation, avec l'engagement depuis lors de plusieurs employés actifs dans le gros oeuvre).</w:t>
      </w:r>
    </w:p>
    <w:p>
      <w:r>
        <w:t>La recourante ne fait ainsi pas la démonstration du caractère insoutenable de la motivation de l'arrêt querellé.</w:t>
      </w:r>
    </w:p>
    <w:p>
      <w:r>
        <w:rPr>
          <w:b/>
        </w:rPr>
        <w:t>E. 6</w:t>
      </w:r>
    </w:p>
    <w:p>
      <w:r>
        <w:t>Les considérants qui précèdent conduisent au rejet du recours. Succombant, la recourante supportera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