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2C_176/2013 vom 20. Februar 2013</w:t>
      </w:r>
    </w:p>
    <w:p>
      <w:r>
        <w:t>Bundesgericht, 2013-02-20, FR</w:t>
      </w:r>
    </w:p>
    <w:p>
      <w:r>
        <w:rPr>
          <w:b/>
        </w:rPr>
        <w:t xml:space="preserve">Quelle: </w:t>
      </w:r>
      <w:r>
        <w:t>https://mcp.opencaselaw.ch/entscheid/bger_2C_176_2013</w:t>
      </w:r>
    </w:p>
    <w:p>
      <w:r>
        <w:t>FR: TF 2C_176/2013 du 20 février 2013</w:t>
      </w:r>
    </w:p>
    <w:p>
      <w:r>
        <w:t>IT: TF 2C_176/2013 del 20 febbraio 2013</w:t>
      </w:r>
    </w:p>
    <w:p>
      <w:pPr>
        <w:pStyle w:val="Heading2"/>
      </w:pPr>
      <w:r>
        <w:t>Erwägungen</w:t>
      </w:r>
    </w:p>
    <w:p>
      <w:r>
        <w:rPr>
          <w:b/>
        </w:rPr>
        <w:t>E. 1</w:t>
      </w:r>
    </w:p>
    <w:p>
      <w:r>
        <w:t>Par arrêt du 15 janvier 2013, la Cour de justice du canton de Genève a rejeté le recours de X.________ contre la décision du 25 juillet 2012 du Service de la consommation et des affaires vétérinaires du canton de Genève prononçant le séquestre définitif des animaux qu'elle détenait et l'interdiction de détenir des animaux pour une durée de trois ans.</w:t>
      </w:r>
    </w:p>
    <w:p>
      <w:r>
        <w:rPr>
          <w:b/>
        </w:rPr>
        <w:t>E. 2</w:t>
      </w:r>
    </w:p>
    <w:p>
      <w:r>
        <w:t>Par écriture du 15 février 2013, X.________ s'adresse au Tribunal fédéral pour exposer la manière dont elle s'occupait de ses animaux et donner des détails sur l'exécution du séquestre, affirmant que le jugement est injustifié.</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 courrier du 15 février 2013 ne répond manifestement pas aux exigences de motivation prévues par l' art. 42 LTF . En effet, il n'expose pas en quoi la décision rendue le 15 janvier 2013 par la Cour de justice violerait le droit cantonal en confirmant le séquestre des animaux de l'intéressée et l'interdiction d'en détenir durant trois ans.</w:t>
      </w:r>
    </w:p>
    <w:p>
      <w:r>
        <w:rPr>
          <w:b/>
        </w:rPr>
        <w:t>E. 4</w:t>
      </w:r>
    </w:p>
    <w:p>
      <w:r>
        <w:t>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