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175/2008 vom 22. August 2008</w:t>
      </w:r>
    </w:p>
    <w:p>
      <w:r>
        <w:t>Bundesgericht, 2008-08-22, DE</w:t>
      </w:r>
    </w:p>
    <w:p>
      <w:r>
        <w:rPr>
          <w:b/>
        </w:rPr>
        <w:t xml:space="preserve">Quelle: </w:t>
      </w:r>
      <w:r>
        <w:t>https://mcp.opencaselaw.ch/entscheid/bger_2C_175_2008</w:t>
      </w:r>
    </w:p>
    <w:p>
      <w:r>
        <w:t>FR: TF 2C 175/2008 du 22 août 2008</w:t>
      </w:r>
    </w:p>
    <w:p>
      <w:r>
        <w:t>IT: TF 2C 175/2008 del 22 agosto 2008</w:t>
      </w:r>
    </w:p>
    <w:p>
      <w:pPr>
        <w:pStyle w:val="Heading2"/>
      </w:pPr>
      <w:r>
        <w:t>Regeste</w:t>
      </w:r>
    </w:p>
    <w:p>
      <w:r>
        <w:t>Steuerdomizil (Einkommens- und Vermögenssteuern 2005) | Öffentliche Finanzen &amp; Abgaberecht</w:t>
      </w:r>
    </w:p>
    <w:p>
      <w:pPr>
        <w:pStyle w:val="Heading2"/>
      </w:pPr>
      <w:r>
        <w:t>Erwägungen</w:t>
      </w:r>
    </w:p>
    <w:p>
      <w:r>
        <w:rPr>
          <w:b/>
        </w:rPr>
        <w:t>E. 1.1</w:t>
      </w:r>
    </w:p>
    <w:p>
      <w:r>
        <w:t>Bestreitet eine zur Veranlagung herangezogene Person die Steuerhoheit des Kantons, muss grundsätzlich in einem Vorentscheid rechtskräftig über die Steuerpflicht entschieden werden, bevor das Veranlagungsverfahren fortgesetzt werden darf. Gegen den kantonal letztinstanzlichen Entscheid des Verwaltungsgerichts des Kantons St. Gallen betreffend die Feststellung der Steuerpflicht für 2005 ist die Beschwerde in öffentlich-rechtlichen Angelegenheiten zulässig (vgl. Art. 82 lit. a in Verbindung mit Art. 86 Abs. 1 lit. d BGG ), aber nur in dem Ausmass, als sie sich auf die subjektive Steuerpflicht bezieht. Hingegen kann auf die weiteren Rechtsbegehren (betreffend Steuerausscheidung, Schuldzinsen und Kapitalleistung, d.h. Fragen der objektiven Steuerpflicht), nicht eingetreten werden. Dasselbe gilt insoweit, als die Beschwerdeführer die Aufhebung sämtlicher Veranlagungsverfügungen fordern (zum sog. Devolutiveffekt vgl. u.a. BGE 129 II 438 E. 1 S. 441, mit Hinweisen).</w:t>
      </w:r>
    </w:p>
    <w:p>
      <w:r>
        <w:rPr>
          <w:b/>
        </w:rPr>
        <w:t>E. 1.2</w:t>
      </w:r>
    </w:p>
    <w:p>
      <w:r>
        <w:t>Bei staatsrechtlichen Beschwerden wegen Verletzung des Doppelbesteuerungsverbots prüfte das Bundesgericht Rechts- und Tatfragen frei; es konnte auch neue Tatsachen und Beweismittel berücksichtigen (vgl. u.a. BGE 131 I 145 E. 2.4 S. 149, mit Hinweisen). Für die Beschwerde in öffentlich-rechtlichen Angelegenheiten erwog es, angesichts der Besonderheiten des Beschwerdeverfahrens in Doppelbesteuerungssachen sei es selbst bei Vorliegen des Entscheids einer letztinstanzlichen kantonalen richterlichen Behörde nicht in jedem Fall davon entbunden, den Sachverhalt frei zu überprüfen. Zudem sei das Novenverbot wohl zu relativieren, wenn bzw. soweit der Instanzenzug nur in einem Kanton durchlaufen worden sei (vgl. BGE 133 I 300 E. 2.3 S. 306). Weil hier nur der letztinstanzliche Entscheid eines Kantons angefochten ist, sind neue Tatsachen und Beweismittel nur in dem Ausmass zuzulassen, als dieser Entscheid dazu Anlass gibt ( Art. 99 Abs. 1 BGG ).</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132 I 29 E. 2.1 S. 31 f. ; 131 I 285 E. 2.1 S. 286; ASA 74, 684 E. 2.1, je mit Hinweisen). Im vorliegenden Fall wird das Hauptsteuerdomizil der Beschwerdeführer in der Steuerperiode 2005 nur vom Kanton St. Gallen beansprucht. Weil der Kanton Thurgau diese Steuerhoheit für den fraglichen Zeitraum anerkennt, ist die aktuelle Doppelbesteuerung an sich beseitigt. Das Einlenken des Kantons Thurgau vermag indessen die Beschwerdeführer nicht zu binden (vgl. Urteil 2P.149/2005 vom 13. Dezember 2005 E. 2.2, mit Hinweis). Mit ihrem Rechtsbegehren, die Besteuerungskompetenz dem Kanton Thurgau zuzusprechen, rügen sie implizit einen Verstoss gegen das Verbot der virtuellen Doppelbesteuerung.</w:t>
      </w:r>
    </w:p>
    <w:p>
      <w:r>
        <w:rPr>
          <w:b/>
        </w:rPr>
        <w:t>E. 3.1</w:t>
      </w:r>
    </w:p>
    <w:p>
      <w:r>
        <w:t>Nach der bundesgerichtlichen Rechtsprechung zu Art. 127 Abs. 3 BV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neuerdings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(vgl.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(vgl. BGE 132 I 29 E. 4.2 S. 36 f., mit Hinweisen).</w:t>
      </w:r>
    </w:p>
    <w:p>
      <w:r>
        <w:rPr>
          <w:b/>
        </w:rPr>
        <w:t>E. 3.2</w:t>
      </w:r>
    </w:p>
    <w:p>
      <w:r>
        <w:t>In Bezug auf die Beweisführung gilt das Folgende: Der steuerrechtliche Wohnsitz als steuerbegründende Tatsache ist grundsätzlich von der Steuerbehörde nachzuweisen (vgl. Pra 2000 Nr. 7 S. 29 E. 3c). Allerdings kann der steuerpflichtigen Person der Gegenbeweis für die von ihr behauptete subjektive Steuerpflicht an einem neuen Ort auferlegt werden, wenn die von der Steuerbehörde angenommene bisherige subjektive Steuerpflicht als sehr wahrscheinlich gilt (vgl. schon ASA 39, 284 E. 3c). Diese ursprünglich für das internationale Verhältnis aufgestellte Regel ist nach der Praxis des Bundesgerichts auch im interkantonalen Verhältnis anwendbar. Dabei besteht bei Wechsel des steuerrechtlichen Wohnsitzes innerhalb der Schweiz gemäss Art. 68 Abs. 1 StHG die Steuerpflicht aufgrund persönlicher Zugehörigkeit für die laufende Steuerperiode im Kanton, in welchem die steuerpflichtigen Personen am Ende dieser Periode ihren Wohnsitz haben (vgl. zum Ganzen u.a. Urteil 2C_183/2007 E. 3.2).</w:t>
      </w:r>
    </w:p>
    <w:p>
      <w:r>
        <w:rPr>
          <w:b/>
        </w:rPr>
        <w:t>E. 4.1</w:t>
      </w:r>
    </w:p>
    <w:p>
      <w:r>
        <w:t>Hier ist die Vorinstanz aufgrund umfangreicher Abklärungen zum Ergebnis gekommen, eine Wohnsitzverlegung der Beschwerdeführer vor dem 31. Dezember 2005 lasse sich weder bestätigen noch widerlegen. Namentlich sei sie nicht schon allein aus der polizeilichen und militärischen Abmeldung abzuleiten. Wenn aber eine rechtserhebliche Tatsache nach der Beweiswürdigung nicht als erwiesen angesehen werden könne, sei gemäss der Beweislast (vgl. oben E. 3.2) zu entscheiden. Nachdem die Beschwerdeführer ihr Hauptsteuerdomizil während rund vier Jahren unangefochten in A.________ hatten, sei es nicht an den St. Galler Behörden, das Weiterbestehen dieses Domizils in ihrem Kanton darzutun, sondern vielmehr an den Beschwerdeführern, die Wohnsitzverlegung in den Kanton Thurgau nachzuweisen.</w:t>
      </w:r>
    </w:p>
    <w:p>
      <w:r>
        <w:rPr>
          <w:b/>
        </w:rPr>
        <w:t>E. 4.2</w:t>
      </w:r>
    </w:p>
    <w:p>
      <w:r>
        <w:t>Dieser Argumentation hätten die Beschwerdeführer selbst dann nichts Beweiskräftiges entgegenzusetzen, wenn ihre zusätzlich eingereichten Belege berücksichtigt werden könnten (vgl. oben E. 1.2). Die Bestätigungen der Nachbarn am Wegzugs- und am Zuzugsort sagen über den genauen Zeitpunkt, in welchem die Beschwerdeführer den Mittelpunkt ihrer Lebensbeziehungen von A.________ nach B.________ verlegt haben, nichts aus. Dasselbe gilt für die Zahlen über den Gasverbrauch, ist es doch notorisch, dass ein neu erstelltes Haus - zumal in den Wintermonaten - selbst dann stark beheizt werden muss, wenn es noch unbewohnt ist. Aus der Abrechnung über den Stromverbrauch geht hervor, dass bis zum 31. Dezember 2005 nur Baustrom verrechnet wurde, was eher auf eine Wohnsitznahme nach diesem Datum schliessen lässt. Insgesamt bleibt es bei der Feststellung, dass den Beschwerdeführern der Nachweis nicht gelungen ist, sie hätten ihren Lebensmittelpunkt und damit ihr Hauptsteuerdomizil am 31. Dezember 2005 bereits nach B.________ verlegt. Dieser Betrachtungsweise hat sich die Steuerverwaltung des Kantons Thurgau angeschlossen. Der steuerrechtliche Wohnsitz für die Steuerperiode 2005 ist deshalb weiterhin im Kanton St. Gallen anzunehmen.</w:t>
      </w:r>
    </w:p>
    <w:p>
      <w:r>
        <w:rPr>
          <w:b/>
        </w:rPr>
        <w:t>E. 5</w:t>
      </w:r>
    </w:p>
    <w:p>
      <w:r>
        <w:t>Die Beschwerde erweist sich mithin als unbegründet und ist abzuweisen, soweit darauf eingetreten werden kann. Bei diesem Verfahrensausgang werden die bundesgerichtlichen Kosten den Beschwerdeführern unter Solidarhaft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