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2C_174/2021 vom 19. Februar 2021</w:t>
      </w:r>
    </w:p>
    <w:p>
      <w:r>
        <w:t>Bundesgericht, 2021-02-19, FR</w:t>
      </w:r>
    </w:p>
    <w:p>
      <w:r>
        <w:rPr>
          <w:b/>
        </w:rPr>
        <w:t xml:space="preserve">Quelle: </w:t>
      </w:r>
      <w:r>
        <w:t>https://mcp.opencaselaw.ch/entscheid/bger_2C_174_2021</w:t>
      </w:r>
    </w:p>
    <w:p>
      <w:r>
        <w:t>FR: TF 2C_174/2021 du 19 février 2021</w:t>
      </w:r>
    </w:p>
    <w:p>
      <w:r>
        <w:t>IT: TF 2C_174/2021 del 19 febbraio 2021</w:t>
      </w:r>
    </w:p>
    <w:p>
      <w:pPr>
        <w:pStyle w:val="Heading2"/>
      </w:pPr>
      <w:r>
        <w:t>Erwägungen</w:t>
      </w:r>
    </w:p>
    <w:p>
      <w:r>
        <w:rPr>
          <w:b/>
        </w:rPr>
        <w:t>E. 1</w:t>
      </w:r>
    </w:p>
    <w:p>
      <w:r>
        <w:t>Par arrêt du 2 février 2021, la Cour de droit administratif et public du Tribunal cantonal vaudois a confirmé le refus du Service cantonal de la population du canton de Vaud d'octroyer une autorisation de séjour pour cas de rigueur à A.________, B.________, C.________, D.________, et E.________.</w:t>
      </w:r>
    </w:p>
    <w:p>
      <w:r>
        <w:rPr>
          <w:b/>
        </w:rPr>
        <w:t>E. 2</w:t>
      </w:r>
    </w:p>
    <w:p>
      <w:r>
        <w:t>Agissant par la voie du recours en matière de droit public, les intéressés demandent au Tribunal fédéral de leur accorder une autorisation de séjour en respect de l' art. 8 CEDH en lien avec l' art. 30 LEI . Ils se plaignent de la violation de leur droit d'être entendus ainsi que de l' art. 8 CEDH , 8 Cst. et 30 LEI. Ils estiment qu'il devraient bénéficier de facilités analogues à celles accordées par l'opération Papyrus.</w:t>
      </w:r>
    </w:p>
    <w:p>
      <w:r>
        <w:rPr>
          <w:b/>
        </w:rPr>
        <w:t>E. 3</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w:t>
      </w:r>
    </w:p>
    <w:p>
      <w:r>
        <w:t>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les recourants n'ont jamais résidé légalement en Suisse. Ils ne peuvent en outre pas déduire de droit au séjour tiré d'une application par analogie de l'opération Papyrus, dans la mesure où le cadre légal de cette opération s'apparente à celui de l' art. 30 LEI , comme ils l'affirment eux-mêmes et que cette disposition ne leur confère aucun droit de séjour en raison de sa formulation potestative, de sorte qu'invoquer l'égalité de traitement à cet égard ne leur confère pas de droit non plus. Le recours en matière de droit public est ainsi irrecevable.</w:t>
      </w:r>
    </w:p>
    <w:p>
      <w:r>
        <w:rPr>
          <w:b/>
        </w:rPr>
        <w:t>E. 4</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Les recourants, qui ne peuvent se prévaloir de l' art. 8 CEDH ni de l' art. 30 LEI (cf. consid. 3 ci-dessus), n'ont pas une position juridique protégée leur conférant la qualité pour agir au fond sous cet angle ( ATF 133 I 185 ).</w:t>
      </w:r>
    </w:p>
    <w:p>
      <w:r>
        <w:t>En outre,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et les références). Ils invoquent la violation de leur droit d'être entendus s'agissant de la preuve de la prise en charge de l'enfant C.________. Ce grief qui concerne la réalisation des conditions de l' art. 30 LEI ne peut pas être séparé du fond et est par conséquent irrecevable.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les recourants doivent supporter les frais de justice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