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2C_16/2017 vom 17. März 2017</w:t>
      </w:r>
    </w:p>
    <w:p>
      <w:r>
        <w:t>Bundesgericht, 2017-03-17, DE</w:t>
      </w:r>
    </w:p>
    <w:p>
      <w:r>
        <w:rPr>
          <w:b/>
        </w:rPr>
        <w:t xml:space="preserve">Quelle: </w:t>
      </w:r>
      <w:r>
        <w:t>https://mcp.opencaselaw.ch/entscheid/bger_2C_16_2017</w:t>
      </w:r>
    </w:p>
    <w:p>
      <w:r>
        <w:t>FR: TF 2C_16/2017 du 17 mars 2017</w:t>
      </w:r>
    </w:p>
    <w:p>
      <w:r>
        <w:t>IT: TF 2C_16/2017 del 17 marzo 2017</w:t>
      </w:r>
    </w:p>
    <w:p>
      <w:pPr>
        <w:pStyle w:val="Heading2"/>
      </w:pPr>
      <w:r>
        <w:t>Erwägungen</w:t>
      </w:r>
    </w:p>
    <w:p>
      <w:r>
        <w:rPr>
          <w:b/>
        </w:rPr>
        <w:t>E. 1.1</w:t>
      </w:r>
    </w:p>
    <w:p>
      <w:r>
        <w:t>Ansprüche aus Staatshaftung gelten - mit Ausnahme der Fälle der Haftung für medizinische Tätigkeit (Art. 31 Abs. 1 lit. d des Reglements vom 20. November 2006 für das Bundesgericht [BGerR; SR 173.110.131]; BGE 133 III 462 E. 2.1 S. 465 f.) - als öffentlich-rechtlich und sind vor Bundesgericht daher mit Beschwerde in öffentlich-rechtlichen Angelegenheiten ( Art. 82 ff. BGG ) geltend zu machen. Zuständig ist innerhalb des Bundesgerichts die II. öffentlich-rechtliche Abteilung, ausser für Ansprüche aus strafprozessualen Normen über Entschädigungen, wofür die strafrechtliche Abteilung zuständig ist (Art. 30 Abs. 1 lit. c Ziff. 1 BGerR; BGE 135 IV 43 E. 1.1.2 S. 46), und Ansprüche gestützt auf das Sozialversicherungsrecht, welche in der Zuständigkeit der sozialrechtlichen Abteilungen liegen ( BGE 136 II 187 ; 135 V 98 ; 134 V 138 ). Zu beachten ist sodann Art. 85 Abs. 1 lit. a BGG , wonach die Beschwerde in vermögensrechtlichen Angelegenheiten auf dem Gebiet der Staatshaftung unzulässig ist, wenn der Streitwert weniger als Fr. 30'000.-- beträgt. Im vorliegenden Fall ist der Streitwert indes höher und die Beschwerde in öffentlich-rechtlichen Angelegenheiten daher grundsätzlich zulässig.</w:t>
      </w:r>
    </w:p>
    <w:p>
      <w:r>
        <w:rPr>
          <w:b/>
        </w:rPr>
        <w:t>E. 1.2</w:t>
      </w:r>
    </w:p>
    <w:p>
      <w:r>
        <w:t>Die Beschwerdeführer beantragen die blosse Aufhebung des angefochtenen Urteils bzw. die Zurückweisung an die Vorinstanz.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oder wenn das Bundesgericht ohnehin nicht reformatorisch entscheiden könnte, weil die erforderlichen Sachverhaltsfeststellungen der Vorinstanz fehlen ( BGE 133 III 489 E. 3.1 S. 489 f.), oder im Falle einer vor Bundesgericht nicht heilbaren Verletzung des rechtlichen Gehörs (Urteile 2C_1039/2015 vom 28. April 2016 E. 2.2; 2C_971/2014 vom 18. Juni 2015 E. 2.2).</w:t>
      </w:r>
    </w:p>
    <w:p>
      <w:r>
        <w:rPr>
          <w:b/>
        </w:rPr>
        <w:t>E. 1.2.1</w:t>
      </w:r>
    </w:p>
    <w:p>
      <w:r>
        <w:t>Aus der Begründung der Beschwerde ergibt sich hier nicht ohne Weiteres, was die Beschwerdeführer konkret beantragen. Immerhin lässt sich dem angefochtenen Entscheid entnehmen, dass die Beschwerdeführer vor der Vorinstanz beantragt hatten, die Gemeinde Lachen sei zu verpflichten, den Klägern Fr. 46'437.-- sowie ihre vorprozessualen Anwaltskosten im Betrag von Fr. 23'435.--, je zuzüglich 5 % Zins seit dem 15. August 2015, zu bezahlen. Weiter machen die Beschwerdeführer sinngemäss geltend, die Voraussetzungen für eine Staatshaftung seien gegenüber der Gemeinde Lachen erfüllt.</w:t>
      </w:r>
    </w:p>
    <w:p>
      <w:r>
        <w:rPr>
          <w:b/>
        </w:rPr>
        <w:t>E. 1.2.2</w:t>
      </w:r>
    </w:p>
    <w:p>
      <w:r>
        <w:t>Die Beschwerdeführer verweisen sodann wiederholt auf Ausführungen und Akten vor der Vorinstanz; darauf tritt das Bundesgericht indes praxisgemäss nicht ein. Die erhobenen Rügen müssen in der Beschwerdeschrift selber enthalten sein; der blosse Verweis auf Ausführungen in anderen Rechtsschriften oder auf die Akten reicht nicht aus ( BGE 133 II 396 E. 3.1 S. 399 f. mit Hinweisen).</w:t>
      </w:r>
    </w:p>
    <w:p>
      <w:r>
        <w:rPr>
          <w:b/>
        </w:rPr>
        <w:t>E. 1.2.3</w:t>
      </w:r>
    </w:p>
    <w:p>
      <w:r>
        <w:t>Somit erscheint es fraglich, ob den Vorbringen der nicht (mehr) anwaltlich vertretenen Beschwerdeführer überhaupt ein rechtsgenügliches reformatorisches Rechtsbegehren entnommen werden kann. Die Frage kann hier letztlich offen gelassen werden, da sich die Beschwerde ohnehin als offensichtlich unbegründet erweist, wie die nachfolgenden Erwägungen zeigen.</w:t>
      </w:r>
    </w:p>
    <w:p>
      <w:r>
        <w:rPr>
          <w:b/>
        </w:rPr>
        <w:t>E. 2.1</w:t>
      </w:r>
    </w:p>
    <w:p>
      <w:r>
        <w:t>Soweit sich - wie im vorliegenden Fall - der angefochtene Entscheid auf kantonales Staatshaftungs- bzw. Verantwortlichkeitsrecht stützt,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Willkür liegt dabei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136 III 552 E. 4.2 S. 560; 135 V 2 E. 1.3 S. 4 mit Hinweisen).</w:t>
      </w:r>
    </w:p>
    <w:p>
      <w:r>
        <w:rPr>
          <w:b/>
        </w:rPr>
        <w:t>E. 2.2</w:t>
      </w:r>
    </w:p>
    <w:p>
      <w:r>
        <w:t>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2.3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(zum Begriff der Willkür vgl. E. 2.1 hiervor).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genügt den Begründungs- bzw. Rügeanforderungen nicht (vgl. BGE 139 II 404 E. 10.1 S. 445 mit Hinweisen).</w:t>
      </w:r>
    </w:p>
    <w:p>
      <w:r>
        <w:rPr>
          <w:b/>
        </w:rPr>
        <w:t>E. 3.1</w:t>
      </w:r>
    </w:p>
    <w:p>
      <w:r>
        <w:t>Gemäss § 3 des Gesetzes [des Kantons Schwyz] vom 20. Februar 1970 über die Haftung des Gemeinwesens und die Verantwortlichkeit seiner Funktionäre (Staatshaftungsgesetz, HG/SZ; SRSZ 140.100) haftet das Gemeinwesen für Schaden, den ein Funktionär in Ausübung hoheitlicher Verrichtungen einem Dritten widerrechtlich zufügt.</w:t>
      </w:r>
    </w:p>
    <w:p>
      <w:r>
        <w:t>Die Vorinstanz hat im angefochtenen Entscheid ausführlich dargelegt und begründet, dass die (kumulativen) Voraussetzungen des Schadens (E. 4), der Widerrechtlichkeit (E. 5) sowie des adäquaten Kausalzusammenhangs zwischen dem Verhalten des Funktionärs und dem eingetretenen Schaden (E. 6) im vorliegenden Fall nicht erfüllt sind. Die Beschwerdeführer vertreten dagegen die Auffassung, entgegen den Steigerungsbedingungen habe es der Gemeindepräsident unterlassen, die rechtzeitige Bezahlung der aufgrund der Versteigerung vom 1. September 2006 fällig gewordenen Grundstückgewinnsteuer zu veranlassen. Aus diesem Grund sei er bzw. die Gemeinde Lachen für die dadurch entstandene Verzugszinsforderung verantwortlich und haftbar.</w:t>
      </w:r>
    </w:p>
    <w:p>
      <w:r>
        <w:rPr>
          <w:b/>
        </w:rPr>
        <w:t>E. 3.2</w:t>
      </w:r>
    </w:p>
    <w:p>
      <w:r>
        <w:t>Den oben dargelegten Rügeanforderungen (vgl. E. 2 hiervor) vermögen die Vorbringen der Beschwerdeführer kaum zu genügen. Es ist ihren Ausführungen insbesondere nicht zu entnehmen, inwiefern das angefochtene Urteil des Verwaltungsgerichts verfassungsmässige Rechte verletzen soll. Vielmehr beschränken sich die Beschwerdeführer auf den blossen Hinweis, die Vorinstanz begehe "eine Rechtsverletzung", indem sie den Verzugszins nicht als Schaden qualifiziere.</w:t>
      </w:r>
    </w:p>
    <w:p>
      <w:r>
        <w:rPr>
          <w:b/>
        </w:rPr>
        <w:t>E. 3.3</w:t>
      </w:r>
    </w:p>
    <w:p>
      <w:r>
        <w:t>Dass das Verwaltungsgericht im vorliegenden Zusammenhang die Bestimmungen des kantonalen Staatshaftungsgesetzes (insbesondere § 3 HG/SZ) willkürlich angewendet und hierdurch gegen Art. 9 BV verstossen hätte, wird von den Beschwerdeführern indes nicht behauptet. Ohnehin könnte von einer solchen (Bundes-) Rechtsverletzung der Vorinstanz nicht die Rede sein, zumal es jedenfalls nicht als geradezu willkürlich erscheint, wenn das Verwaltungsgericht davon ausging, dass den Beschwerdeführern als Schuldner der Grundstückgewinnforderung infolge der Ausgleichsfunktion der Verzugszinsen und der Verzinsung des Sperrkontos mit verbesserter Rendite gar kein Schaden entstanden bzw. ein solcher von den Beschwerdeführern nicht genügend substantiiert worden ist. Insbesondere fehlt hier jegliche Auseinandersetzung zur Thematik der Zinsdifferenz (Verzugszins/Verzinsung Guthaben).</w:t>
      </w:r>
    </w:p>
    <w:p>
      <w:r>
        <w:rPr>
          <w:b/>
        </w:rPr>
        <w:t>E. 3.3.1</w:t>
      </w:r>
    </w:p>
    <w:p>
      <w:r>
        <w:t>So trifft es vielmehr zu, dass dem Verzugszins die Funktion eines Vorteilsausgleichs wegen verspäteter Zahlung der Hauptschuld zukommt. Die Verzugszinsen bezwecken, unbekümmert um den tatsächlichen Nutzen und Schaden, den Zinsverlust des Gläubigers und den Zinsgewinn des Schuldners in pauschalierter Form auszugleichen. Hingegen weist der Verzugszins keinen pönalen Charakter auf und ist unabhängig von einem Verschulden am Verzug geschuldet ( BGE 134 V 202 E. 3.3.1, 3.3.2 und 3.5 S. 206 f.; Urteil 2C_232/2012 vom 23. Juli 2012 E. 4.2).</w:t>
      </w:r>
    </w:p>
    <w:p>
      <w:r>
        <w:rPr>
          <w:b/>
        </w:rPr>
        <w:t>E. 3.3.2</w:t>
      </w:r>
    </w:p>
    <w:p>
      <w:r>
        <w:t>Zudem hat die Vorinstanz verbindlich festgestellt, dass vorliegend der gesamte Steigerungsertrag auf einem Sperrkonto bei der Schwyzer Kantonalbank sichergestellt und der Betrag mithin zu marktüblichen Zinsen bzw. als Callgeld mit verbesserter Rendite verzinst worden ist (vgl. angefochtener Entscheid E. 4.4.2). Daraus durfte die Vorinstanz ohne in Willkür zu verfallen schliessen, die Beschwerdeführer hätten keinen Nutzungsausfall erlitten.</w:t>
      </w:r>
    </w:p>
    <w:p>
      <w:r>
        <w:rPr>
          <w:b/>
        </w:rPr>
        <w:t>E. 3.3.3</w:t>
      </w:r>
    </w:p>
    <w:p>
      <w:r>
        <w:t>Der in diesem Zusammenhang erhobene Vorwurf der Verletzung des rechtlichen Gehörs zielt ebenfalls an der Sache vorbei: Der Anspruch auf rechtliches Gehör nach Art. 29 Abs. 2 BV gebietet zwar,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t>Die Vorinstanz hat diese Grundsätze eingehalten. Wenn die Vorinstanz einzelne Elemente weniger stark gewichtet hat, als den Beschwerdeführern vorschwebte, liegt darin keine Verletzung des rechtlichen Gehörs. Die behördliche Begründungspflicht soll den Anspruch der Partei auf eine sachbezogene Begründung gewährleisten; ob diese zutrifft, ist als materielle Frage von der Rechtsmittelinstanz zu entscheiden. Die Begründungspflicht ist erfüllt, wenn die Betroffenen die entsprechende Erwägung sachgerecht anfechten können (vgl. BGE 136 I 184 E. 2.2.1 S. 188); dies ist hier zweifellos der Fall.</w:t>
      </w:r>
    </w:p>
    <w:p>
      <w:r>
        <w:rPr>
          <w:b/>
        </w:rPr>
        <w:t>E. 3.4</w:t>
      </w:r>
    </w:p>
    <w:p>
      <w:r>
        <w:t>Insgesamt sind die Ausführungen der Beschwerdeführer nicht geeignet aufzuzeigen, inwiefern die Folgerung der Vorinstanz, der Schadensnachweis sei nicht erbracht, offensichtlich unhaltbar oder sonst wie mit schweizerischem Recht unvereinbar sei.</w:t>
      </w:r>
    </w:p>
    <w:p>
      <w:r>
        <w:rPr>
          <w:b/>
        </w:rPr>
        <w:t>E. 3.5</w:t>
      </w:r>
    </w:p>
    <w:p>
      <w:r>
        <w:t>Ohne Schadensnachweis entfällt ein Schadenersatzanspruch. Da die Beschwerde (bereits) in Bezug auf diesen Aspekt abzuweisen ist, muss auf die übrigen Erwägungen des angefochtenen Entscheids bzw. die diesbezüglichen Rügen nicht mehr eingegangen werden (Urteil 2C_161/2012 vom 24. Februar 2012 E. 2 mit Hinweis auf BGE 133 IV 119 E 6.3 S. 120; 136 III 534 E. 2 S. 535).</w:t>
      </w:r>
    </w:p>
    <w:p>
      <w:r>
        <w:rPr>
          <w:b/>
        </w:rPr>
        <w:t>E. 4</w:t>
      </w:r>
    </w:p>
    <w:p>
      <w:r>
        <w:t>Nach dem Ausgeführten ist die Beschwerde im vereinfachten Verfahren nach Art. 109 BGG als offensichtlich unbegründet abzuweisen, soweit darauf überhaupt einzutreten ist. Für alles Weitere kann auf den angefochtenen Entscheid verwiesen werden ( Art. 109 Abs. 3 BGG ).</w:t>
      </w:r>
    </w:p>
    <w:p>
      <w:r>
        <w:t>Bei diesem Ausgang des Verfahrens tragen die Beschwerdeführer die Kosten des bundesgerichtlichen Verfahrens unter solidarischer Haftung (Art. 65 f. BGG). Die obsiegende Gemeinde Lachen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