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2C_165/2014 vom 18. Juli 2014</w:t>
      </w:r>
    </w:p>
    <w:p>
      <w:r>
        <w:t>Bundesgericht, 2014-07-18, FR</w:t>
      </w:r>
    </w:p>
    <w:p>
      <w:r>
        <w:rPr>
          <w:b/>
        </w:rPr>
        <w:t xml:space="preserve">Quelle: </w:t>
      </w:r>
      <w:r>
        <w:t>https://mcp.opencaselaw.ch/entscheid/bger_2C_165_2014</w:t>
      </w:r>
    </w:p>
    <w:p>
      <w:r>
        <w:t>FR: TF 2C_165/2014 du 18 juillet 2014</w:t>
      </w:r>
    </w:p>
    <w:p>
      <w:r>
        <w:t>IT: TF 2C_165/2014 del 18 luglio 2014</w:t>
      </w:r>
    </w:p>
    <w:p>
      <w:pPr>
        <w:pStyle w:val="Heading2"/>
      </w:pPr>
      <w:r>
        <w:t>Erwägungen</w:t>
      </w:r>
    </w:p>
    <w:p>
      <w:r>
        <w:rPr>
          <w:b/>
        </w:rPr>
        <w:t>E. 1.1</w:t>
      </w:r>
    </w:p>
    <w:p>
      <w:r>
        <w:t>Selon l' art. 83 let . c LTF, le recours en matière de droit public est irrecevable contre les décisions en matière de droit des étrangers qui concernent une autorisation à laquelle ni le droit fédéral ni le droit international ne donnent droit (ch. 2). Le recourant se prévaut de manière défendable du droit conféré par les art. 50 LEtr et 8 CEDH. Le point de savoir si les conditions posées par la loi sont effectivement réunies relève en effet de l'examen au fond (cf. ATF 139 I 330 consid. 1.1 p. 332; 136 II 177 consid. 1.1 p. 179; arrêt 2C_968/2012 du 22 mars 2012 consid. 1.1). Pour le surplus, dirigé contre un arrêt final (cf. art. 90 LTF ) rendu par le Tribunal administratif fédéral (cf. art. 86 al. 1 let. a LTF ), le recours a été déposé dans les formes et le délai prescrits par la loi (cf. art. 42 et 100 al. 1 LTF ) par le destinataire de l'arrêt attaqué qui a qualité pour recourir au sens de l' art. 89 al. 1 LTF . Il est par conséquent recevable.</w:t>
      </w:r>
    </w:p>
    <w:p>
      <w:r>
        <w:rPr>
          <w:b/>
        </w:rPr>
        <w:t>E. 1.2</w:t>
      </w:r>
    </w:p>
    <w:p>
      <w:r>
        <w:t>La conclusion tendant à l'annulation de la décision de l'Office fédéral des migrations est irrecevable en raison de l'effet dévolutif complet du recours auprès du Tribunal administratif fédéral (arrêt 2C_117/2014 du 27 juin 2014consid. 1.5).</w:t>
      </w:r>
    </w:p>
    <w:p>
      <w:r>
        <w:rPr>
          <w:b/>
        </w:rPr>
        <w:t>E. 2</w:t>
      </w:r>
    </w:p>
    <w:p>
      <w:r>
        <w:t>Invoquant l'art. 97 al. 1 LEtr, le recourant se plaint de l'établissement arbitraire des faits. Il reproche à l'instance précédente d'avoir omis d'apprécier l'intervention de la gendarmerie et sa condamnation pénale à la lumière du contexte de conflit conjugal prévalant entre 2006 et 2007. Il lui reproche un raisonnement qui occulte l'évolution progressive et positive qui a marqué les liens qu'il entretient avec son fils positive.</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"manifestement inexacte" figurant à l' art. 97 al. 1 LTF correspond à celle d'arbitraire au sens de l' art. 9 Cst. ( ATF 137 III 226 consid. 4.2 p. 234). Le Tribunal fédéral ne se prononce toutefois sur la violation de droits fondamentaux que s'il se trouve saisi d'un grief motivé de façon détaillée conformément aux exigences accrues de l' art. 106 al. 2 LTF . La partie recourante doit énoncer le droit ou principe constitutionnel violé et exposer de manière claire et circonstanciée en quoi consiste la violation (cf. ATF 138 I 171 consid. 1.4 p. 176).</w:t>
      </w:r>
    </w:p>
    <w:p>
      <w:r>
        <w:rPr>
          <w:b/>
        </w:rPr>
        <w:t>E. 2.2</w:t>
      </w:r>
    </w:p>
    <w:p>
      <w:r>
        <w:t>Les griefs de constatation arbitraire des faits doivent être rejetés. En effet, le recourant ne se plaint pas de la constatation arbitraire des faits mais bien plutôt de leur appréciation juridique, comme cela ressort du mémoire de recours lui-même (p. 6) qui fait état d'omissions dans l'appréciation des faits et dans le raisonnement tenu par l'instance précédente.</w:t>
      </w:r>
    </w:p>
    <w:p>
      <w:r>
        <w:rPr>
          <w:b/>
        </w:rPr>
        <w:t>E. 3</w:t>
      </w:r>
    </w:p>
    <w:p>
      <w:r>
        <w:t>Le recourant estime que l'instance précédente a violé l'art. 50 al. 1 let. b LEtr.</w:t>
      </w:r>
    </w:p>
    <w:p>
      <w:r>
        <w:rPr>
          <w:b/>
        </w:rPr>
        <w:t>E. 3.1</w:t>
      </w:r>
    </w:p>
    <w:p>
      <w:r>
        <w:t>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alors que - eu égard à l'ensemble des circonstances - l'étranger se trouve dans un cas de rigueur après la dissolution de la famille ( ATF 138 II 393 consid. 3.1 p. 395 et les références).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arrêt 2C_993/2011 du 10 juillet 2012 consid. 3.1). Le Tribunal fédéral a mis en lumière un certain nombre de situations dans lesquelles la pour-suite du séjour en Suisse peut s'imposer. Celles-ci ne sont pas exhaustives ( ATF 136 II 1 consid. 5.2 p. 3 s.). Parmi celles-ci figurent notamment les violences conjugales (art. 50 al. 2 LEtr et 77 al. 2 de l'ordonnance fédérale du 24 octobre 2007 relative à l'admission, au séjour et à l'exercice d'une activité lucrative [OASA; RS 142.201]; cf. aussi art. 31 al. 1 OASA et arrêt 2C_1062/2013 du 28 mars 2014 consid. 3.2.1),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w:t>
      </w:r>
    </w:p>
    <w:p>
      <w:r>
        <w:rPr>
          <w:b/>
        </w:rPr>
        <w:t>E. 3.2</w:t>
      </w:r>
    </w:p>
    <w:p>
      <w:r>
        <w:t>Le recourant expose qu'une application stricte de l'art. 50 al. 1 let. b LEtr reviendrait à vider de sa substance le droit au relations familiales avec son fils établi en Suisse. Ce faisant, il ne prétend pas se trouver dans une situation telle que celles développées par la jurisprudence en matière de raisons personnelles majeures. Il se plaint en réalité de l'application de l' art. 8 CEDH . Le grief de violation de l'art. 50 LEtr est par conséquent rejeté.</w:t>
      </w:r>
    </w:p>
    <w:p>
      <w:r>
        <w:rPr>
          <w:b/>
        </w:rPr>
        <w:t>E. 4</w:t>
      </w:r>
    </w:p>
    <w:p>
      <w:r>
        <w:t>Reste à déterminer si le recourant peut se prévaloir de sa relation avec son fils pour obtenir une autorisation de séjour fondée sur l' art. 8 CEDH .</w:t>
      </w:r>
    </w:p>
    <w:p>
      <w:r>
        <w:rPr>
          <w:b/>
        </w:rPr>
        <w:t>E. 4.1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143 consid. 1.3.1 p. 145, ATF 135 I 153 consid. 2.1 p. 154 s.). Il n'y a toutefois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140 I 145 consid. 3.1 p. 146 s. et les références).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146 s. et les références).</w:t>
      </w:r>
    </w:p>
    <w:p>
      <w:r>
        <w:rPr>
          <w:b/>
        </w:rPr>
        <w:t>E. 4.2</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140 I 145 consid. 3.2 p. 147 s. et les références).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s. et les références). La jurisprudence a précisé, en lien avec l'art. 50 al. 1 let. b LEtr (RS 142.20),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 ATF 140 I 145 consid. 3.2 p. 147 s. et les références ).</w:t>
      </w:r>
    </w:p>
    <w:p>
      <w:r>
        <w:t>Sous l'angle de l' art. 8 par. 1 CEDH , ce qui est déterminant,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 ATF 140 I 145 consid. 4.2 p. 149 et les références).</w:t>
      </w:r>
    </w:p>
    <w:p>
      <w:r>
        <w:rPr>
          <w:b/>
        </w:rPr>
        <w:t>E. 4.3</w:t>
      </w:r>
    </w:p>
    <w:p>
      <w:r>
        <w:t>La condition exigeant un comportement irréprochable a été récemment assouplie par le Tribunal fédéral.</w:t>
      </w:r>
    </w:p>
    <w:p>
      <w:r>
        <w:t>En matière de regroupement familial inversé lorsque l'enfant a la nationalité suisse, la jurisprudence n'exige en particulier plus du parent qui entend se prévaloir de l' 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(cf. ATF 140 I 145 consid. 3.3 p. 148 et les références).</w:t>
      </w:r>
    </w:p>
    <w:p>
      <w:r>
        <w:t>De même, dans l'examen de la situation de l'étranger ne faisant plus ménage commun avec son conjoint suisse mais ayant encore l'autorité parentale sur leur enfant mineur de nationalité suisse sans en avoir la garde, le Tribunal fédéral a jugé que la contrariété à l'ordre public ne constituait pas une condition indépendante rédhibitoire de refus de prolongation de l'autorisation de séjour ( ATF 140 I 145 consid. 4.3 p. 150 s.).</w:t>
      </w:r>
    </w:p>
    <w:p>
      <w:r>
        <w:rPr>
          <w:b/>
        </w:rPr>
        <w:t>E. 4.4</w:t>
      </w:r>
    </w:p>
    <w:p>
      <w:r>
        <w:t>En l'espèce, le recourant n'a ni l'autorité parentale ni la garde de son fils. Il ne se trouve par conséquent pas dans une des situations pour lesquelles la jurisprudence en matière de comportement irréprochable a été assouplie. A cela s'ajoute que la condamnation pénale dont il a fait l'objet est suffisamment grave pour qu'il n'y ait aucun doute sur l'absence de comportement irréprochable du recourant durant son séjour en Suisse. Les conflits conjugaux qui prévalaient à l'époque entre les époux ne constituent en rien une excuse sous cet angle ni d'ailleurs l'écoulement du temps.</w:t>
      </w:r>
    </w:p>
    <w:p>
      <w:r>
        <w:t>Pour le surplus, s'il est vrai que le recourant a su tisser à la longue des liens plus étroits avec son fils et a vu son droit de visite petit à petit élargi avec le temps, il se trouve néanmoins qu'au moment où l'instance précédente a rendu son arrêt, il ne bénéficiait pas d'un droit de visite standard au sens où l'entend la jurisprudence récente. En effet, le Tribunal de protection de l'adulte et de l'enfant du canton de Genève ne lui a accordé un droit de visite sur son fils qu'à raison d'un jour par semaine, une fois sur deux le samedi avec passage de l'enfant devant un centre commercial, une fois sur deux le dimanche avec passage au point de rencontre et, bien qu'il ait levé l'exigence du dépôt des papiers d'identité avant chaque visite, il a néanmoins maintenu la curatelle d'organisation et de surveillance du droit de visite.</w:t>
      </w:r>
    </w:p>
    <w:p>
      <w:r>
        <w:t>Le grief de violation de l' art. 8 CEDH est par conséquent rejeté.</w:t>
      </w:r>
    </w:p>
    <w:p>
      <w:r>
        <w:rPr>
          <w:b/>
        </w:rPr>
        <w:t>E. 5</w:t>
      </w:r>
    </w:p>
    <w:p>
      <w:r>
        <w:t>Les considérants qui précèdent conduisent au rejet du recours dans la mesure où il est recevable. Succombant, le recourant doit supporter les frais judiciaires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