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2C_163/2026 vom 20. März 2026</w:t>
      </w:r>
    </w:p>
    <w:p>
      <w:r>
        <w:t>Bundesgericht, 2026-03-20, DE</w:t>
      </w:r>
    </w:p>
    <w:p>
      <w:r>
        <w:rPr>
          <w:b/>
        </w:rPr>
        <w:t xml:space="preserve">Quelle: </w:t>
      </w:r>
      <w:r>
        <w:t>https://mcp.opencaselaw.ch/entscheid/bger_2C_163_2026</w:t>
      </w:r>
    </w:p>
    <w:p>
      <w:r>
        <w:t>FR: TF 2C_163/2026 du 20 mars 2026</w:t>
      </w:r>
    </w:p>
    <w:p>
      <w:r>
        <w:t>IT: TF 2C_163/2026 del 20 marzo 2026</w:t>
      </w:r>
    </w:p>
    <w:p>
      <w:pPr>
        <w:pStyle w:val="Heading2"/>
      </w:pPr>
      <w:r>
        <w:t>Erwägungen</w:t>
      </w:r>
    </w:p>
    <w:p>
      <w:r>
        <w:rPr>
          <w:b/>
        </w:rPr>
        <w:t>E. 1.1</w:t>
      </w:r>
    </w:p>
    <w:p>
      <w:r>
        <w:t>Mit Entscheid der Anwaltsaufsichtskommission des Kantons Appenzell Ausserrhoden vom 20. Oktober 2025 wurde Rechtsanwalt A.________ wegen Verletzung der Berufsregeln mit Fr. 3'000.-- gebüsst. Dagegen erhob A.________ am 1. Dezember 2025 Beschwerde an das Obergericht Appenzell Ausserrhoden.</w:t>
      </w:r>
    </w:p>
    <w:p>
      <w:r>
        <w:t>Mit Verfügung vom 10. Dezember 2025 forderte die Verfahrensleitung A.________ auf, innert zehn Tagen einen Kostenvorschuss in der Höhe von Fr. 1'000.-- zu bezahlen. Diese Frist wurde ihm mit Verfügung vom 31. Dezember 2025 letztmals bis zum 20. Januar 2026 erstreckt.</w:t>
      </w:r>
    </w:p>
    <w:p>
      <w:r>
        <w:rPr>
          <w:b/>
        </w:rPr>
        <w:t>E. 1.2</w:t>
      </w:r>
    </w:p>
    <w:p>
      <w:r>
        <w:t>Mit Verfügung des Einzelrichters vom 3. Februar 2026 trat das Obergericht auf die Beschwerde nicht ein, da innert erstreckter Frist keine Vorschusszahlung bei der Obergerichtskasse eingegangen sei.</w:t>
      </w:r>
    </w:p>
    <w:p>
      <w:r>
        <w:rPr>
          <w:b/>
        </w:rPr>
        <w:t>E. 1.3</w:t>
      </w:r>
    </w:p>
    <w:p>
      <w:r>
        <w:t>Mit Eingabe vom 16. März 2026 erhebt A.________ Beschwerde an das Bundesgericht und beantragt, es sei die Verfügung vom 3. Februar 2026 aufzuheben und es sei die Sache zur Entscheidung an die Vorinstanz zurückzuweisen.</w:t>
      </w:r>
    </w:p>
    <w:p>
      <w:r>
        <w:t>Es wurden keine Instruktionsmassnahmen angeordnet.</w:t>
      </w:r>
    </w:p>
    <w:p>
      <w:r>
        <w:rPr>
          <w:b/>
        </w:rPr>
        <w:t>E. 2.1</w:t>
      </w:r>
    </w:p>
    <w:p>
      <w:r>
        <w:t>Die angefochtene Verfügung stellt einen Endentscheid einer letzten kantonalen Instanz ( Art. 86 Abs. 1 lit. d und Art. 90 BGG ) in einer Angelegenheit des öffentlichen Rechts (anwaltsrechtliches Disziplinarverfahren) dar, welche unter keine der Ausnahmen gemäss Art. 83 BGG fällt. Damit steht die Beschwerde in öffentlich-rechtlichen Angelegenheiten grundsätzlich zur Verfügung.</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2.3</w:t>
      </w:r>
    </w:p>
    <w:p>
      <w:r>
        <w:t>Seinem Urteil legt das Bundesgericht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147 I 73 E. 2.2; 140 III 264 E. 2.3). Für eine Kritik am festgestellten Sachverhalt gilt das strenge Rügeprinzip von Art. 106 Abs. 2 BGG ( BGE 148 V 366 E. 3.3; 140 III 264 E. 2.3 ; 137 I 58 E. 4.1.2).</w:t>
      </w:r>
    </w:p>
    <w:p>
      <w:r>
        <w:rPr>
          <w:b/>
        </w:rPr>
        <w:t>E. 2.4</w:t>
      </w:r>
    </w:p>
    <w:p>
      <w:r>
        <w:t>Vorliegend hat die Vorinstanz im Wesentlichen festgehalten, dass sie den Beschwerdeführer mit Verfügung vom 10. Dezember 2025 gestützt auf das kantonale Verfahrensrecht aufgefordert habe, innert zehn Tagen einen Kostenvorschuss von Fr. 1'000.-- zu leisten (Art. 21 des kantonalen Gesetzes über die Verwaltungsrechtspflege vom 9. September 2002 [VRPG/AR; bGS 143.1]). Diese Aufforderung sei mit dem Hinweis verbunden gewesen, dass bei Säumnis auf die Beschwerde nicht eingetreten werde. Auf Gesuch des Beschwerdeführers hin sei ihm die Frist am 31. Dezember 2025 letztmalig bis zum 20. Januar 2026 erstreckt worden. Indessen sei innert erstreckter Frist keine Vorschusszahlung bei der Obergerichtskasse eingegangen. In der Folge ist das Obergericht auf die Beschwerde mit Verfügung vom 3. Februar 2026 nicht eingetreten.</w:t>
      </w:r>
    </w:p>
    <w:p>
      <w:r>
        <w:rPr>
          <w:b/>
        </w:rPr>
        <w:t>E. 2.5</w:t>
      </w:r>
    </w:p>
    <w:p>
      <w:r>
        <w:t>Der Beschwerdeführer behauptet nicht, dass er den Kostenvorschuss innert der angesetzten Nachfrist, d.h. bis zum 20. Januar 2026, oder allenfalls später geleistet hätte. Er macht einzig geltend, er habe innert erstreckter Frist erneut um eine Fristverlängerung ersucht. Das entsprechende Schreiben habe er per A-Post am 19. Januar 2026 bei der Post aufgegeben. Die Vorinstanz habe den Antrag ignoriert und das Verfahren zu Unrecht abgeschrieben.</w:t>
      </w:r>
    </w:p>
    <w:p>
      <w:r>
        <w:rPr>
          <w:b/>
        </w:rPr>
        <w:t>E. 2.6</w:t>
      </w:r>
    </w:p>
    <w:p>
      <w:r>
        <w:t>Zunächst ist festzuhalten, dass die angefochtene Verfügung keine Hinweise auf den von dem Beschwerdeführer erwähnten Fristerstreckungsantrag enthält. Der Beschwerdeführer legt zwar ein vom 19. Januar 2026 datiertes Schreiben ins Recht, welches an das Obergericht Appenzell Ausserrhoden adressiert ist und einen Fristerstreckungsantrag für die Leistung des Kostenvorschusses enthält. Belege dafür, dass dieses Schreiben tatsächlich der Post übergeben worden sei, reicht er indessen nicht ein. Soweit er - ohne weitere Begründung - als Beweis die Befragung einer Zeugin anbietet, ist darauf hinzuweisen, dass das Bundesgericht in Beschwerdeverfahren nur bei Vorliegen aussergewöhnlicher Umstände Beweismassnahmen anordnet (vgl. Art. 55 BGG ), da es seine rechtliche Würdigung grundsätzlich auf der von der Vorinstanz festgestellten Sachverhaltsgrundlage vornimmt (vgl. BGE 136 II 101 E. 2; Urteil 2C_551/2024 vom 16. September 2025 E. 3.2). Der Beschwerdeführer legt nicht dar, inwiefern solche aussergewöhnlichen Umstände vorliegen sollen bzw. was diese Zeugin zur Klärung des Sachverhalts beitragen könnte.</w:t>
      </w:r>
    </w:p>
    <w:p>
      <w:r>
        <w:rPr>
          <w:b/>
        </w:rPr>
        <w:t>E. 2.7</w:t>
      </w:r>
    </w:p>
    <w:p>
      <w:r>
        <w:t>Die Frage, ob das Obergericht den neuen Fristerstreckungsantrag erhalten habe oder nicht, kann aber letztlich offenbleiben, denn der Beschwerdeführer legt nicht ansatzweise dar, inwiefern sich aus dem kantonalen Verfahrensrecht oder aus dem Bundesrecht im konkreten Fall ein Anspruch auf eine weitere Fristerstreckung ergeben hätte. Dies insbesondere vor dem Hintergrund, dass die Vorinstanz gemäss der angefochtenen Verfügung dem Beschwerdeführer am 31. Dezember 2025 bereits eine Fristerstreckung gewährt und ihn darauf hingewiesen hatte, dass es sich dabei um eine letztmalige Verlängerung handle, was der Beschwerdeführer im Übrigen auch nicht bestreitet. Folglich zeigt der Beschwerdeführer nicht substanziiert auf, inwiefern sein neues Fristerstreckungsgesuch für den Ausgang des Verfahrens entscheidend sein könnte ( Art. 97 Abs. 1 BGG ; vgl. E. 2.3 hiervor). Weitere Rügen in Bezug auf die Gründe, die zum Nichteintreten auf seine Beschwerde geführt haben, enthält die knapp anderthalb Seiten umfassende Eingabe des Beschwerdeführers nicht. Damit entbehrt die Beschwerde offensichtlich einer rechtsgenügenden Begründung ( Art. 42 Abs. 2 und Art. 106 Abs. 2 BGG ).</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