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2C_160/2024 vom 11. Juli 2024</w:t>
      </w:r>
    </w:p>
    <w:p>
      <w:r>
        <w:t>Bundesgericht, 2024-07-11, DE</w:t>
      </w:r>
    </w:p>
    <w:p>
      <w:r>
        <w:rPr>
          <w:b/>
        </w:rPr>
        <w:t xml:space="preserve">Quelle: </w:t>
      </w:r>
      <w:r>
        <w:t>https://mcp.opencaselaw.ch/entscheid/bger_2C_160_2024</w:t>
      </w:r>
    </w:p>
    <w:p>
      <w:r>
        <w:t>FR: TF 2C_160/2024 du 11 juillet 2024</w:t>
      </w:r>
    </w:p>
    <w:p>
      <w:r>
        <w:t>IT: TF 2C_160/2024 del 11 luglio 2024</w:t>
      </w:r>
    </w:p>
    <w:p>
      <w:pPr>
        <w:pStyle w:val="Heading2"/>
      </w:pPr>
      <w:r>
        <w:t>Erwägungen</w:t>
      </w:r>
    </w:p>
    <w:p>
      <w:r>
        <w:rPr>
          <w:b/>
        </w:rPr>
        <w:t>E. 1.1</w:t>
      </w:r>
    </w:p>
    <w:p>
      <w:r>
        <w:t>Auf dem Gebiet des Ausländerrechts ist die Beschwerde in öffentlich-rechtlichen Angelegenheiten ausgeschlossen gegen Entscheide, welche Bewilligungen betreffen, auf die weder das Bundesrecht noch das Völkerrecht einen Anspruch einräumen ( Art. 83 lit. c Ziff. 2 BGG ). Für das Eintreten genügt es, wenn die betroffene Person in vertretbarer Weise dartun kann, dass ein potenzieller Anspruch auf die beantragte Bewilligung besteht; ob die jeweils erforderlichen Voraussetzungen tatsächlich gegeben sind, bildet Gegenstand der inhaltlichen Beurteilung (vgl. BGE 149 I 72 E. 1.1 ; 147 I 268 E. 1.2.7 ; 147 I 89 E. 1.1.1). Der Beschwerdeführer 1 macht angesichts seiner Aufenthaltsdauer von rund 30 Jahren in vertretbarer Weise einen Bewilligungsanspruch gestüzt auf das Recht auf Achtung des Privatlebens ( Art. 8 EMRK ) geltend. Gleiches gilt für die Beschwerdeführenden 2 bis 4, soweit sie aus dem Recht auf Achtung des Familienlebens ( Art. 8 EMRK ) einen Familiennachzugsanspruch ableiten. Da alle weiteren Prozessvoraussetzungen gegeben sind (Art. 82 lit. a, Art. 86 Abs. 1 lit. d und Abs. 2, Art. 89 Abs. 1, Art. 90 und Art. 100 Abs. 1 BGG ), ist auf die Beschwerde unter Präzisierung des Nachfolgenden grundsätzlich einzutreten.</w:t>
      </w:r>
    </w:p>
    <w:p>
      <w:r>
        <w:rPr>
          <w:b/>
        </w:rPr>
        <w:t>E. 1.2</w:t>
      </w:r>
    </w:p>
    <w:p>
      <w:r>
        <w:t>Soweit die Beschwerdeführenden pauschal auf die Rekursschrift vom 12. Juli 2023 verweisen, kommen sie der Begründungspflicht gemäss Art. 42 Abs. 2 BGG nicht nach (vgl. BGE 148 IV 205 E. 2.6; 144 V 173 E. 3.2.2; 140 III 115 E. 2). Auf die entsprechenden Vorbringen ist im Folgenden daher nicht einzugehen. Gleiches gilt für die nicht weiter begründete Rüge, wonach die Vorinstanz sich ihrerseits mit den Ausführungen in der Rekursschrift ungenügend auseinandergesetzt und damit den Anspruch auf rechtliches Gehör verletzt habe (vgl. Art. 106 Abs. 2 BGG ; hinten E. 2.1). Vor diesem Hintergrund und mit Blick darauf, dass auch jene Rügen, die in der Beschwerde näher ausgeführt werden, offensichtlich unbegründet sind, kann Letztere mit summarischer Begründung erledigt werden ( Art. 109 Abs. 3 BGG ).</w:t>
      </w:r>
    </w:p>
    <w:p>
      <w:r>
        <w:rPr>
          <w:b/>
        </w:rPr>
        <w:t>E. 2.1</w:t>
      </w:r>
    </w:p>
    <w:p>
      <w:r>
        <w:t>Mit der Beschwerde kann namentlich die Verletzung von Bundes- und Völkerrecht gerügt werden ( Art. 95 lit. a und lit. b BGG ). Das Bundesgericht wendet das Recht von Amtes wegen an ( Art. 106 Abs. 1 BGG ), wobei es - unter Berücksichtigung der allgemeinen Rüge- und Begründungspflicht ( Art. 42 Abs. 2 BGG ) - nur die geltend gemachten Vorbringen prüft, sofern allfällige weitere rechtliche Mängel nicht geradezu offensichtlich sind ( BGE 147 I 73 E. 2.1; 145 V 215 E. 1.1). In Bezug auf die Verletzung von Grundrechten gilt eine qualifizierte Rüge- und Substanziierungspflicht ( Art. 106 Abs. 2 BGG ; BGE 148 II 392 E. 1.4.1 ; 139 I 229 E. 2.2).</w:t>
      </w:r>
    </w:p>
    <w:p>
      <w:r>
        <w:rPr>
          <w:b/>
        </w:rPr>
        <w:t>E. 2.2</w:t>
      </w:r>
    </w:p>
    <w:p>
      <w:r>
        <w:t>Das Bundesgericht legt seinem Urteil den Sachverhalt zugrunde, den die Vorinstanz festgestellt hat ( Art. 105 Abs. 1 BGG ). Die Sachverhaltsfeststellung der Vorinstanz kann nur gerügt oder vom Bundesgericht von Amtes wegen berichtigt oder ergänzt werden, wenn sie offensichtlich unrichtig ist oder auf einer Rechtsverletzung im Sinne von Art. 95 BGG beruht (Art. 97 Abs. 1 bzw. Art. 105 Abs. 2 BGG ). Eine entsprechende Rüge ist hinreichend substanziiert vorzubringen ( Art. 42 Abs. 2 und Art. 106 Abs. 2 BGG ; BGE 147 I 73 E. 2.2; 140 III 264 E. 2.3) und setzt zudem voraus, dass die Behebung des Mangels für den Ausgang des Verfahrens entscheidend sein kann ( Art. 97 Abs. 1 BGG ).</w:t>
      </w:r>
    </w:p>
    <w:p>
      <w:r>
        <w:rPr>
          <w:b/>
        </w:rPr>
        <w:t>E. 2.3</w:t>
      </w:r>
    </w:p>
    <w:p>
      <w:r>
        <w:t>Neue Tatsachen und Beweismittel dürfen vor Bundesgericht nur ausnahmsweise vorgebracht werden, wenn der Entscheid der Vorinstanz dazu Anlass gibt ( Art. 99 Abs. 1 BGG ). Echte Noven, d.h. Tatsachen und Beweismittel, die erst nach dem angefochtenen Urteil eingetreten bzw. entstanden sind, bleiben im bundesgerichtlichen Verfahren unberücksichtigt ( BGE 143 V 19 E. 1.2; 139 III 120 E. 3.1.2).</w:t>
      </w:r>
    </w:p>
    <w:p>
      <w:r>
        <w:rPr>
          <w:b/>
        </w:rPr>
        <w:t>E. 3</w:t>
      </w:r>
    </w:p>
    <w:p>
      <w:r>
        <w:t>Die Beschwerdeführenden rügen zunächst eine unrichtige Sachverhaltsfeststellung und bringen vor, der Beschwerdeführer 1 sei psychisch ernsthaft erkrankt, befinde sich in psychotherapeutischer Behandlung und habe dies nicht publik werden lassen wollen. Die Vorinstanz habe diesen Umstand übersehen, weshalb nun eine psychiatrische Expertise zu erstellen sei.</w:t>
      </w:r>
    </w:p>
    <w:p>
      <w:r>
        <w:t>Die Bechwerdeführenden legen nicht schlüssig dar, weshalb die kantonalen Instanzen sich ohne die Mitwirkung des Beschwerdeführers 1 hätten veranlasst sehen müssen, dahingehende Abklärungen vorzunehmen (vgl. Art. 90 AIG [SR 142.20]; BGE 148 II 465 E. 8.3; Urteil 2C_681/2022 vom 3. August 2023 E. 4.1). Insofern hat die Vorinstanz auch keinen Anlass gegeben, die gesundheitliche Situation erst vor Bundesgericht zu thematisieren. Die diesbezüglichen Tatsachen und Beweismittel können folglich nicht berücksichtigt werden, soweit sie nicht ohnehin als echte Noven nicht einbezogen werden können (vorne E. 2.3). Die Sachverhaltsrüge ist demnach unbegründet.</w:t>
      </w:r>
    </w:p>
    <w:p>
      <w:r>
        <w:rPr>
          <w:b/>
        </w:rPr>
        <w:t>E. 4</w:t>
      </w:r>
    </w:p>
    <w:p>
      <w:r>
        <w:t>Der Beschwerdeführer 1 wurde mit Urteil vom 7. Juli 2022 zu einer bedingten Freiheitsstrafe von 22 Monaten und damit zu einer längerfristigen Freiheitsstrafe im Sinne von Art. 62 Abs. 1 lit. b AIG verurteilt (vgl. BGE 146 II 321 E. 3.1 ; 139 I 16 E. 2.1). Die diesbezüglichen Delikte wurden vor dem 1. Oktober 2016 begangen, sodass Art. 66a ff. StGB und Art. 62 Abs. 2 AIG nicht anwendbar sind ( BGE 146 II 333 E. 5.1; 146 II 49 E. 5.3). Ein Widerrufsgrund liegt damit vor, was die Beschwerdeführenden denn auch nicht bestreiten. Deshalb kann offen gelassen werden, ob die Verschuldung des Beschwerdeführers 1, deren Höhe von knapp Fr. 390'000.-- unbestritten ist, mutwillig erfolgte und daher ein zweiter Widerrufsgrund gemäss Art. 62 Abs. 1 lit. c AIG erfüllt ist.</w:t>
      </w:r>
    </w:p>
    <w:p>
      <w:r>
        <w:rPr>
          <w:b/>
        </w:rPr>
        <w:t>E. 5</w:t>
      </w:r>
    </w:p>
    <w:p>
      <w:r>
        <w:t>Umstritten ist, ob die Nichtverlängerung der Aufenthaltsbewilligungen der Beschwerdeführenden verhältnismässig ist und insofern die öffentlichen Fernhalteinteressen die privaten Interessen am Verbleib überwiegen (vgl. Art. 96 Abs. 1 AIG und Art. 8 Ziff. 2 EMRK ; zu den dabei zu berücksichtigenden Elementen BGE 144 I 266 E. 3.7; Urteile 2C_41/2023 vom 1. März 2024 E. 6.5; 2C_367/2021 vom 30. September 2021 E. 3.2).</w:t>
      </w:r>
    </w:p>
    <w:p>
      <w:r>
        <w:rPr>
          <w:b/>
        </w:rPr>
        <w:t>E. 5.1</w:t>
      </w:r>
    </w:p>
    <w:p>
      <w:r>
        <w:t>Die Vorinstanz ist bereits mit Blick auf die Straffälligkeit des Beschwerdeführers 1 (vorne Sachverhalt A.d) und der hohen Rückfallgefahr von einem gewichtigen Fernhalteinteresse ausgegangen. Dies ist nicht zu beanstanden, zumal auch die Beschwerdeführenden dagegen nichts einwenden.</w:t>
      </w:r>
    </w:p>
    <w:p>
      <w:r>
        <w:rPr>
          <w:b/>
        </w:rPr>
        <w:t>E. 5.2</w:t>
      </w:r>
    </w:p>
    <w:p>
      <w:r>
        <w:t>Ungeachtet der Frage, ob der Beschwerdeführer 1 mit seiner Verschuldung einen weiteren Widerrufsgrund erfüllt, fällt diese im Rahmen der Interessenabwägung negativ ins Gewicht. Zwar sind die Lohnpfändung und der Umstand positiv zu werten, dass der Beschwerdeführer 1 mit der Hilfe seiner Schwester nach eigenen Angaben eine umfassende Schuldensanierung anstrebt. Dennoch erweist sich die Würdigung der Vorinstanz als schlüssig, dass die Sanierungsbemühungen nicht nachhaltig erscheinen. Der Beschwerdeführer 1 hat sich nämlich erst unter dem Druck der drohenden Wegweisung um eine Sanierung bemüht, nachdem er zuvor bereits mehrfach von verschiedenen Migrationsbehörden auf seine Schuldensituation hingewiesen worden war. Zu Recht unterstrich die Vorinstanz zudem das Risiko einer Fortsetzung der Verschuldung, wenn der Beschwerdeführer 1 beabsichtigt, seine gut bezahlte Stelle bei seiner Schwester aufzugeben, um erneut ein eigenes Geschäft zu gründen, nachdem er zuvor trotz massiv ansteigender Verschuldung 15 Jahre an der selbstständigen Erwerbstätigkeit festgehalten hatte. Im Übrigen ist der Beschwerdeführer 1 selbst nach Antritt der vorgenannten Stelle seinen Verpflichtungen nicht fristgerecht nachgekommen, was die Ernsthaftigkeit der Sanierungsbemühungen weiter in Frage stellt.</w:t>
      </w:r>
    </w:p>
    <w:p>
      <w:r>
        <w:rPr>
          <w:b/>
        </w:rPr>
        <w:t>E. 5.3</w:t>
      </w:r>
    </w:p>
    <w:p>
      <w:r>
        <w:t>Die Integration des Beschwerdeführers ist angesichts seiner Straffälligkeit und seiner Verschuldung mangelhaft, obschon er rund 30 Jahre in der Schweiz gelebt und hier eine Ausbildung absolviert hat. Des Weiteren hielt die Vorinstanz fest, dass der Beschwerdeführer 1 mit seinem Herkunftsstaat bestens vertraut sei und ihm eine Rückkehr trotz gewisser Schwierigkeiten zumutbar sei. Dies gelte auch für die Beschwerdeführerin 2, deren Integration im Übrigen ebenfalls nicht mit der Aufenthaltsdauer korreliere. Sie sei nicht erwerbstätig und verfüge über vergleichsweise geringe Sprachkenntnisse. Schliesslich seien die Beschwerdeführenden 3 und 4 im anpassungsfähigen Alter.</w:t>
      </w:r>
    </w:p>
    <w:p>
      <w:r>
        <w:rPr>
          <w:b/>
        </w:rPr>
        <w:t>E. 5.4</w:t>
      </w:r>
    </w:p>
    <w:p>
      <w:r>
        <w:t>Was die Beschwerdeführenden betreffend die Gewichtung der privaten Interessen vorbringen, vermag nicht zu überzeugen, soweit die Beschwerde diesbezüglich nicht ohnehin unzureichend begründet ist und sich in rein appellatorischer Kritik erschöpft (vgl. vorne E. 1.2). So übersehen die Beschwerdeführenden insbesondere, dass die Vorinstanz angesichts der fehlenden Erwerbstätigkeit der Beschwerdeführerin 2 zu Recht von einer mangelhaften Integration ausgegangen ist, da ausländerrechtlich in der Regel ab dem 3. Lebensjahr des jüngsten Kindes eine Erwerbstätigkeit zumutbar ist (Urteile 2C_592/2020 vom 28. April 2022 E. 9.3.1; 2C_536/2021 vom 19.10.2021 E. 6.2.2). Weder hinreichend dargelegt noch ersichtlich ist sodann, weshalb den Beschwerdeführenden die Rückkehr in den Kosovo aufgrund der allgemeinen Sicherheits- und Wirtschaftslage nicht zumutbar sein sollte (vgl. Urteile 2C_538/2021 vom 24. Juni 2022 E. 4.4.2; 2C_831/2021 vom 16. März 2022 E. 4.2). Schliesslich ist den Beschwerdeführenden nicht zu folgen, wenn sie betreffend die Beschwerdeführerin 2 aus dem Recht auf Privatleben ( Art. 8 EMRK ) einen selbstständigen Aufenthaltsanspruch ableiten wollen, da die Integration der Beschwerdeführerin 2 insbesondere in wirtschaftlicher Hinsicht zu wünschen übrig lässt (vgl. BGE 144 I 266 E. 3.9).</w:t>
      </w:r>
    </w:p>
    <w:p>
      <w:r>
        <w:rPr>
          <w:b/>
        </w:rPr>
        <w:t>E. 5.5</w:t>
      </w:r>
    </w:p>
    <w:p>
      <w:r>
        <w:t>Dass die Vorinstanz vor diesem Hintergrund betreffend den Beschwerdeführer 1 von überwiegenden öffentlichen Fernhalteinteressen ausgegangen ist, ist schlüssig und verletzt weder Bundes- noch Konventionsrecht. Damit fallen auch die abgeleiteten Aufenthaltstitel der Beschwerdeführenden 2 bis 4 dahin.</w:t>
      </w:r>
    </w:p>
    <w:p>
      <w:r>
        <w:rPr>
          <w:b/>
        </w:rPr>
        <w:t>E. 6.1</w:t>
      </w:r>
    </w:p>
    <w:p>
      <w:r>
        <w:t>Angesichts des Dargelegten besteht kein Anlass für eine Rückweisung an die Vorinstanz oder das Migrationsamt zur weiteren Sachverhaltsabklärung. Es liegt praxisgemäss am Migrationsamt des Kantons Zürich, die Ausreisefrist den Umständen angemessen neu anzusetzen, nachdem die Beschwerdeführenden aufgrund der aufschiebenden Wirkung ihrer Beschwerde nicht verpflichtet waren, der inzwischen verstrichenen Ausreisefrist Folge zu leisten (vgl. 2C_150/2022 vom 18. August 2022 E. 6).</w:t>
      </w:r>
    </w:p>
    <w:p>
      <w:r>
        <w:rPr>
          <w:b/>
        </w:rPr>
        <w:t>E. 6.2</w:t>
      </w:r>
    </w:p>
    <w:p>
      <w:r>
        <w:t>Die Beschwerde erweist sich nach dem Dargelegten als offensichtlich unbegründet und kann im vereinfachten Verfahren nach Art. 109 Abs. 2 lit. a BGG erledigt werden. Es wird ergänzend auf die Ausführungen im angefochtenen Entscheid verwiesen ( Art. 109 Abs. 3 BGG ).</w:t>
      </w:r>
    </w:p>
    <w:p>
      <w:r>
        <w:rPr>
          <w:b/>
        </w:rPr>
        <w:t>E. 6.3</w:t>
      </w:r>
    </w:p>
    <w:p>
      <w:r>
        <w:t>Dem Verfahrensausgang entsprechend haben die Beschwerdeführenden 1 und 2 die Kosten des bundesgerichtlichen Verfahrens zu tragen ( Art. 66 Abs. 1 und Abs. 5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