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2C_15/2019 vom 26. Juli 2019</w:t>
      </w:r>
    </w:p>
    <w:p>
      <w:r>
        <w:t>Bundesgericht, 2019-07-26, DE</w:t>
      </w:r>
    </w:p>
    <w:p>
      <w:r>
        <w:rPr>
          <w:b/>
        </w:rPr>
        <w:t xml:space="preserve">Quelle: </w:t>
      </w:r>
      <w:r>
        <w:t>https://mcp.opencaselaw.ch/entscheid/bger_2C_15_2019</w:t>
      </w:r>
    </w:p>
    <w:p>
      <w:r>
        <w:t>FR: TF 2C_15/2019 du 26 juillet 2019</w:t>
      </w:r>
    </w:p>
    <w:p>
      <w:r>
        <w:t>IT: TF 2C_15/2019 del 26 luglio 2019</w:t>
      </w:r>
    </w:p>
    <w:p>
      <w:pPr>
        <w:pStyle w:val="Heading2"/>
      </w:pPr>
      <w:r>
        <w:t>Erwägungen</w:t>
      </w:r>
    </w:p>
    <w:p>
      <w:r>
        <w:rPr>
          <w:b/>
        </w:rPr>
        <w:t>E. 1</w:t>
      </w:r>
    </w:p>
    <w:p>
      <w:r>
        <w:t>Angefochten ist das letztinstanzliche, verfahrensabschliessende Urteil eines kantonalen oberen Gerichts in einer Angelegenheit des öffentlichen Rechts, in der die ordentliche Beschwerde an das Bundesgericht zulässig ist (Art. 82 lit. a, Art. 83, Art. 86 Abs. 1 lit. d und Abs. 2, Art. 90 BGG ). Der Beschwerdeführer hat am vorinstanzlichen Verfahren teilgenommen und obsiegte dort nur teilweise. Er ist durch den angefochtenen Entscheid besonders berührt und verfügt über ein schutzwürdiges Interesse an dessen Aufhebung ( Art. 89 Abs. 1 BGG ). Auf das im Übrigen frist- und - unter Vorbehalt einer in allen Punkten rechtsgenüglichen Begründung - formgerecht eingereichte Rechtsmittel ( Art. 42 Abs. 1 und Abs. 2, Art. 106 Abs. 2 BGG ) ist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Die Verletzung von Grundrechten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 Art. 105 Abs. 1 BGG ).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BGE 136 II 304 E. 2.4 S. 313 f.).</w:t>
      </w:r>
    </w:p>
    <w:p>
      <w:r>
        <w:rPr>
          <w:b/>
        </w:rPr>
        <w:t>E. 3</w:t>
      </w:r>
    </w:p>
    <w:p>
      <w:r>
        <w:t>Streitgegenstand ist die definitive Einziehung der beschlagnahmten Pistole des Beschwerdeführers sowie die Abgabe allfälliger weiterer sich in dessen Besitz befindlicher Waffen gestützt auf Art. 31 Abs. 3 lit a i. V. m. Art. 8 Abs. 2 lit. c des Bundesgesetzes vom 20. Juni 1997 über Waffen, Waffenzubehör und Munition [Waffengesetz, WG; SR 514.54]).</w:t>
      </w:r>
    </w:p>
    <w:p>
      <w:r>
        <w:rPr>
          <w:b/>
        </w:rPr>
        <w:t>E. 4.1</w:t>
      </w:r>
    </w:p>
    <w:p>
      <w:r>
        <w:t>Wer eine Waffe oder einen wesentlichen Waffenbestandteil erwerben will, benötigt einen Waffenerwerbsschein ( Art. 8 Abs. 1 WG ). Keinen Waffenerwerbsschein erhalten Personen, die zur Annahme Anlass geben, dass sie sich selbst oder Dritte mit der Waffe gefährden ( Art. 8 Abs. 2 WG ). Art. 31 WG regelt die Beschlagnahme und die Entziehung einer Waffe. Nach Abs. 1 lit. b dieser Bestimmung werden Waffen, wesentliche Waffenbestandteile, Waffenzubehör, Munition und Munitionsbestandteile aus dem Besitz einer Person beschlagnahmt, bei der ein Hinderungsgrund nach Art. 8 Abs. 2 WG besteht. Wenn die Gefahr einer zukünftigen missbräuchlichen Verwendung fortbesteht (vgl. Urteil 2C_1163/2014 vom 18. Mai 2015 E. 3.3), werden die beschlagnahmten Gegenstände definitiv eingezogen ( Art. 31 Abs. 3 WG ).</w:t>
      </w:r>
    </w:p>
    <w:p>
      <w:r>
        <w:rPr>
          <w:b/>
        </w:rPr>
        <w:t>E. 4.2</w:t>
      </w:r>
    </w:p>
    <w:p>
      <w:r>
        <w:t>Gemäss der Rechtsprechung des Bundesgerichts setzt die Einziehbarkeit einer Waffe voraus, dass die Voraussetzungen für eine Beschlagnahme erfüllt sind (vgl. Urteil 2A.546/2004 vom 4. Februar 2005, E. 3.2.2). Im Unterschied zur Beschlagnahme, die vorab präventiven, gegebenenfalls provisorischen Charakter hat, ist die Einziehung endgültig (vgl. Urteil 2A.294/2003 vom 17. Juni 2004 E. 3.2 mit Hinweisen). Sowohl bei der Beschlagnahme als auch der Einziehung handelt es sich um eigenständige, von der Strafuntersuchung bzw. -verfolgung unabhängige Massnahmen (Urteil 2A.358/2000 vom 30. März 2001 E. 5b).</w:t>
      </w:r>
    </w:p>
    <w:p>
      <w:r>
        <w:rPr>
          <w:b/>
        </w:rPr>
        <w:t>E. 4.3</w:t>
      </w:r>
    </w:p>
    <w:p>
      <w:r>
        <w:t>Die Vorinstanz hat die Einziehung der Pistole des Beschwerdeführers damit gerechtfertigt, dass eine Gefahr ihrer missbräuchlichen Verwendung ( Art. 31 Abs. 3 lit. a WG ) aufgrund einer Selbst- bzw. Drittgefährdung ( Art. 8 Abs. 2 lit. c WG ) bestehe. Bei den Tatbestandselementen der Selbst- oder Drittgefährdung gemäss Art. 8 Abs. 2 lit. c WG handelt es sich um unbestimmte (Bundes-) Rechtsbegriffe. Deren Anwendung prüft das Bundesgericht frei ( Art. 95 lit. a BGG ).</w:t>
      </w:r>
    </w:p>
    <w:p>
      <w:r>
        <w:rPr>
          <w:b/>
        </w:rPr>
        <w:t>E. 4.4</w:t>
      </w:r>
    </w:p>
    <w:p>
      <w:r>
        <w:t>Unstreitig handelt es sich bei der beschlagnahmten Pistole um eine Waffe im Sinne von Art. 4 WG , die somit unter anderem bezüglich ihres Erwerbs und Besitzes dem Waffengesetz unterliegt (vgl. Art. 1 Abs. 2 WG ). Dieses Gesetz hat entsprechend dem verfassungsrechtlichen Auftrag nach Art. 107 Abs. 1 BV zum Zweck, die missbräuchliche Verwendung von Waffen zu bekämpfen (vgl. Urteile 2C_158/2011 vom 29. September 2011 E. 3.1). Voraussetzung für den Besitz einer Waffe ist ihr rechtmässiger Erwerb ( Art. 12 WG ), welcher voraussetzt, dass keine Verweigerungsgründe gemäss Art. 8 Abs. 2 WG bestehen. Gemäss der Rechtsprechung des Bundesgerichts müssen Personen, die Waffen besitzen wollen, mit Blick auf die erhöhten Gefahren, die von diesen Gegenständen ausgehen, besonders zuverlässig sein (vgl. Urteile 2C_1271/2012 vom 6. Mai 2013 E. 3.2; 2C_158/2011 vom 29. September 2011 E. 3.5). Das ist namentlich nicht der Fall bei Personen, die an einer psychischen oder geistigen Erkrankung leiden, alkoholabhängig sind oder suizidale Tendenzen aufweisen (vgl. Urteile 2C_1163/2014 vom 18. Mai 2015 E. 3.3; 2C_469/2010 vom 11. Oktober 2010 E. 3.6).</w:t>
      </w:r>
    </w:p>
    <w:p>
      <w:r>
        <w:rPr>
          <w:b/>
        </w:rPr>
        <w:t>E. 4.5</w:t>
      </w:r>
    </w:p>
    <w:p>
      <w:r>
        <w:t>Ob Anlass zur Annahme einer Selbst- oder Drittgefährdung im Sinne von Art. 8 Abs. 2 lit. c WG besteht, ist entscheidend nach dem Verhalten der betroffenen Person insgesamt und unter Würdigung aller relevanter Umstände zu beurteilen (vgl. Urteile 2C_1163/2014 vom 18. Mai 2015 E. 3.3; 2C_469/2010 vom 11. Oktober 2010 E. 3.6; 2A.546/2004 vom 4. Februar 2005 E. 3.1). Dabei hat die zuständige Behörde eine Prognose zum Risiko einer missbräuchlichen Verwendung der Waffe zu treffen (vgl. Urteile 2C_1163/2014 vom 18. Mai 2015 E. 3.3; 2C_469/2010 vom 11. Oktober 2010 E. 3.6; 2A.546/2004 vom 4. Februar 2005 E. 3.2.2). Bei dieser Einschätzung besteht ein gewisser Ermessensspielraum (vgl. Urteil 2C_1163/2014 vom 18. Mai 2015 E. 3.4).</w:t>
      </w:r>
    </w:p>
    <w:p>
      <w:r>
        <w:rPr>
          <w:b/>
        </w:rPr>
        <w:t>E. 4.6</w:t>
      </w:r>
    </w:p>
    <w:p>
      <w:r>
        <w:t>Die Vorinstanz hat das Vorliegen der Gefahr einer missbräuchlichen Verwendung der Waffe durch den Beschwerdeführer vornehmlich darauf abgestützt, dass der Beschwerdeführer keine Gewähr dafür biete, dass die Pistole künftig sicher aufbewahrt und deshalb keinem Unberechtigten in die Hände falle. Sie stützte sich dabei insbesondere auf die Tatsache, dass der Beschwerdeführer sowohl wegen eines Verstosses wegen unvorsichtiger Verwahrung einer Waffe als auch wegen der Duldung des Konsums von Drogen in der von ihm geführten Bar verurteilt worden war. In Übereinstimmung mit den vorangehenden Instanzen ging sie davon aus, dass es aufgrund der konkreten Umstände als naheliegend zu betrachten sei, dass der Raum, in dem sich die Pistole befand, von Personen mit einem kriminellen Hintergrund hättte betreten werden und diese beim Auffinden einer Tasche deren Inhalt überprüfen und die Waffe hätten finden können. Die vorangehenden Instanzen hätten insofern zu Recht eine missbräuchliche Verwendung der Waffe nicht ausschliessen können.</w:t>
      </w:r>
    </w:p>
    <w:p>
      <w:r>
        <w:rPr>
          <w:b/>
        </w:rPr>
        <w:t>E. 4.7.1</w:t>
      </w:r>
    </w:p>
    <w:p>
      <w:r>
        <w:t>Diese Begründung greift zu kurz. Zu Recht rügt der Beschwerdeführer, dass die Vorinstanz von einem rein theoretischen, statistisch kaum relevanten hypothetischen Kausalverlauf ausgegangen ist. Die Vorinstanz hat zu wenig die Tatsache berücksichtigt, dass die Waffe gut verpackt, ohne Munition aufbewahrt und die Waffe in einem nicht für die Öffentlichkeit bestimmten Nebenraum gelagert wurde. Die rein theoretische Gefahr, dass ein Besucher der Bar zufällig den Nebenraum hätte betreten können und dort die (ungeladene) sich in einer Aktentasche in einem Karton befindliche Pistole hätte entnehmen und damit jemand hätte bedrohen können, ist unzureichend, um ohne weiteren Anhaltspunkte anzunehmen, dass dies Anlass zu einer Drittgefährdung im Sinne von Art. 8 Abs. 2 lit. c WG gebe.</w:t>
      </w:r>
    </w:p>
    <w:p>
      <w:r>
        <w:rPr>
          <w:b/>
        </w:rPr>
        <w:t>E. 4.7.2</w:t>
      </w:r>
    </w:p>
    <w:p>
      <w:r>
        <w:t>Gemäss der Rechtsprechung des Bundesgerichts muss eine überwiegende Wahrscheinlichkeit bestehen, dass der Waffenträger eine Waffe in einer gefährlichen Art gegenüber sich selbst oder anderen verwendet (Urteil 2C_93/2007 vom 3. September 2007 E. 5.2). Wie dies insbesondere der zweite Halbsatz von Art. 31 Abs. 3 lit. a WG verdeutlicht, liegt die Gefahr missbräuchlicher Waffenverwendung insbesondere dann vor, wenn sich der Waffenträger in einem körperlichen oder geistigen Zustand befindet, der ein erhöhtes Risiko für den Umgang von Waffen darstellt. Hierfür bestehen aber in den Akten keine Hinweise, weshalb es sich auch nicht aufdrängt, solches abzuklären und ein psychiatrisches Gutachten in Auftrag zu geben.</w:t>
      </w:r>
    </w:p>
    <w:p>
      <w:r>
        <w:rPr>
          <w:b/>
        </w:rPr>
        <w:t>E. 4.7.3</w:t>
      </w:r>
    </w:p>
    <w:p>
      <w:r>
        <w:t>Die Vorinstanz nimmt zwar zu Recht Bezug auf die gegen den Beschwerdeführer verhängten Strafurteile, es ergibt sich aber aus den vorinstanzlichen Erwägungen nicht, inwiefern das ihm im Rahmen dieser Verfahren vorgeworfene Verhalten das Risiko einer Drittgefährdung durch eine Waffe nahelegen würde.</w:t>
      </w:r>
    </w:p>
    <w:p>
      <w:r>
        <w:rPr>
          <w:b/>
        </w:rPr>
        <w:t>E. 4.7.4</w:t>
      </w:r>
    </w:p>
    <w:p>
      <w:r>
        <w:t>Soweit der Beschwerdeführer darüber hinaus beanstandet, dass die Vorinstanzen keine fundierte Prognose hinsichtlich des Risikos einer solch missbräuchlichen Verwendung der Pistole in der Zukunft erstellt haben, ist sein Einwand ebenfalls begründet. Aufgrund der Verurteilung wegen unsorgfältiger Verwahrung der Pistole bzw. der Duldung des Konsums von Drogen kann nicht ohne weitere Begründung auf eine fehlende Gewähr für eine künftige gesetzmässige Verwendung der Waffe durch den Beschwerdeführer geschlossen werden. Mangels weiterer Anhaltspunkte sind die Voraussetzungen für die Entziehung der Waffe des Beschwerdefühers insofern nicht erfüllt.</w:t>
      </w:r>
    </w:p>
    <w:p>
      <w:r>
        <w:rPr>
          <w:b/>
        </w:rPr>
        <w:t>E. 5</w:t>
      </w:r>
    </w:p>
    <w:p>
      <w:r>
        <w:t>Der Beschwerdeführer rügt sodann, dass die unter Strafandrohung erteilte Aufforderung, allenfalls weitere in seinem Besitz befindliche Waffen usw. abzugeben, bzw. für den Fall, dass keine solchen Gegenstände mehr in seinem Besitz sein sollten, dies schriftlich zu bestätigen bzw. mündlich zu Protokoll zu geben, gegen Art. 31 Abs. 3 lit. a WG verstosse.</w:t>
      </w:r>
    </w:p>
    <w:p>
      <w:r>
        <w:t>Auch diese Rüge erweist sich als begründet. Insoweit schon die Voraussetzungen für die Entziehung der Waffe des Beschwerdefühers nicht gegeben sind, besteht auch kein Grund zur Anordnung der Herausgabe weiterer sich möglicherweise in seinem Besitz befindlicher Waffen bzw. der Abgabe einer Erklärung, nicht im Besitze solcher zu sein.</w:t>
      </w:r>
    </w:p>
    <w:p>
      <w:r>
        <w:rPr>
          <w:b/>
        </w:rPr>
        <w:t>E. 6</w:t>
      </w:r>
    </w:p>
    <w:p>
      <w:r>
        <w:t>Dem Verfahrensausgang entsprechend sind keine Kosten geschuldet ( Art. 66 Abs. 4 BGG ). Der Kanton Schaffhausen muss den Beschwerdeführer für seinen Aufwand vor Bundesgericht indessen angemessen entschädigen ( Art. 68 Abs. 1 und 2 BGG ). Das Obergericht des Kantons Schaffhausen wird über die Kosten der kantonalen Verfahren neu zu entscheiden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