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2C_159/2011 vom 7. Juli 2011</w:t>
      </w:r>
    </w:p>
    <w:p>
      <w:r>
        <w:t>Bundesgericht, 2011-07-07, FR</w:t>
      </w:r>
    </w:p>
    <w:p>
      <w:r>
        <w:rPr>
          <w:b/>
        </w:rPr>
        <w:t xml:space="preserve">Quelle: </w:t>
      </w:r>
      <w:r>
        <w:t>https://mcp.opencaselaw.ch/entscheid/bger_2C_159_2011</w:t>
      </w:r>
    </w:p>
    <w:p>
      <w:r>
        <w:t>FR: TF 2C_159/2011 du 7 juillet 2011</w:t>
      </w:r>
    </w:p>
    <w:p>
      <w:r>
        <w:t>IT: TF 2C_159/2011 del 7 luglio 2011</w:t>
      </w:r>
    </w:p>
    <w:p>
      <w:pPr>
        <w:pStyle w:val="Heading2"/>
      </w:pPr>
      <w:r>
        <w:t>Erwägungen</w:t>
      </w:r>
    </w:p>
    <w:p>
      <w:r>
        <w:rPr>
          <w:b/>
        </w:rPr>
        <w:t>E. 1</w:t>
      </w:r>
    </w:p>
    <w:p>
      <w:r>
        <w:t>Le 21 juin 2011, le Service des migrations a fait parvenir au Tribunal fédéral des pièces datées du 16 juin 2011, lesquelles sont donc postérieures à l'arrêt attaqué (cf. art. 99 al. 1 LTF et ATF 136 III 123 consid. 4.4.3 p. 128). Ces documents ont, en outre, été produits hors délai et sans qu'un deuxième échange d'écritures n'ait été ordonné. Ils ne peuvent, dès lors, être pris en considération.</w:t>
      </w:r>
    </w:p>
    <w:p>
      <w:r>
        <w:rPr>
          <w:b/>
        </w:rPr>
        <w:t>E. 2</w:t>
      </w:r>
    </w:p>
    <w:p>
      <w:r>
        <w:t>Selon l' art. 83 let . c LTF, le recours en matière de droit public est irrecevable contre les décisions en matière de droit des étrangers qui concernent le déplacement de la résidence dans un autre canton (ch. 6; en vigueur depuis le 1er janvier 2008, RO 2006 5599).</w:t>
      </w:r>
    </w:p>
    <w:p>
      <w:r>
        <w:t>En l'espèce, le droit au permis d'établissement dans le nouveau canton ne constitue qu'une conséquence du droit de changer de domicile d'un canton à l'autre puisque ce droit implique celui à un nouveau permis d'établissement. Le recours doit, ainsi, être traité uniquement sous l'angle du changement de canton. Or, le recours en matière de droit public n'est pas recevable à l'encontre d'une décision concernant ce domaine, et ce même si l'étranger à un droit de changer de canton (arrêts 2C_140/2010 du 17 juin 2010 consid. 2.3 et 2C_886/2008 du 4 mai 2009 consid. 2).</w:t>
      </w:r>
    </w:p>
    <w:p>
      <w:r>
        <w:rPr>
          <w:b/>
        </w:rPr>
        <w:t>E. 3.1</w:t>
      </w:r>
    </w:p>
    <w:p>
      <w:r>
        <w:t>La voie du recours en matière de droit public n'étant pas ouverte, celle du recours constitutionnel subsidiaire entre en ligne de compte ( art. 113 LTF ). La désignation erronée du recours ne porte pas préjudice à son auteur, dans la mesure où celui-ci remplit les exigences légales de la voie de droit qui lui est ouverte ( ATF 133 I 300 consid. 1.2 p. 302/303, 308 consid. 4.1 p. 314).</w:t>
      </w:r>
    </w:p>
    <w:p>
      <w:r>
        <w:rPr>
          <w:b/>
        </w:rPr>
        <w:t>E. 3.2</w:t>
      </w:r>
    </w:p>
    <w:p>
      <w:r>
        <w:t>La qualité pour former un recours constitutionnel subsidiaire suppose un "intérêt juridique" à l'annulation ou à la modification de la décision attaquée ( art. 115 let. b LTF ; cf. ATF 133 I 185 ).</w:t>
      </w:r>
    </w:p>
    <w:p>
      <w:r>
        <w:t>L'ancienne loi fédérale du 26 mars 1931 sur le séjour et l'établissement des étrangers (LSEE; RS 1 113) - applicable au présent cas en vertu de l'art. 126 al. 1 LEtr - n'octroie pas de droit à un changement de canton. Par contre, l'art. 1 de la Convention d'établissement et consulaire du 16 février 1888 entre la Suisse et la Serbie (Yougoslavie) (ci-après: la Convention d'établissement; RS 0.142.118.181), initialement conclue avec la Serbie, puis applicable à la Yougoslavie et enfin aux Etats issus de cette dernière, prévoit:</w:t>
      </w:r>
    </w:p>
    <w:p>
      <w:r>
        <w:t>"Les Serbes seront reçus et traités, dans chaque canton de la Confédération, relativement à leurs personnes et à leurs propriétés, sur le même pied et de la même manière que le sont ou pourront l'être à l'avenir les ressortissants des autres cantons. Ils pourront, en conséquence, aller, venir et séjourner temporairement en Suisse, en se conformant aux lois et règlements de police."</w:t>
      </w:r>
    </w:p>
    <w:p>
      <w:r>
        <w:t>La jurisprudence a rappelé que les traités d'établissement encore en vigueur conclus avant la première guerre mondiale sont interprétés, selon un accord tacite et réciproque des Etats contractants, en ce sens qu'ils ne sont applicables qu'aux étrangers au bénéfice d'un permis d'établissement (cf. ATF 119 IV 65 consid. 1a p. 67; cf. aussi ATF 132 II 65 consid. 2.3).</w:t>
      </w:r>
    </w:p>
    <w:p>
      <w:r>
        <w:t>En conséquence, la recourante, qui possède une autorisation d'établissement de durée indéterminée ( art. 6 al. 1 LSEE ) valable dans le canton de Vaud, a, en principe, le droit de changer de canton en vertu de l'art. 1 de la Convention d'établissement.</w:t>
      </w:r>
    </w:p>
    <w:p>
      <w:r>
        <w:t>Tel n'est, par contre, pas le cas du recourant, à supposer qu'il puisse se prévaloir de la Convention en cause, car celui-ci détient une autorisation de séjour. Or, la Convention d'établissement n'est applicable qu'aux étrangers au bénéfice d'un permis d'établissement. Dès lors, dépourvu de tout droit de changer de canton, l'époux de la recourante n'a pas d'intérêt juridique à l'annulation ou à la modification de la décision attaquée. Partant, son recours est irrecevable. Cependant, l'autorisation de séjour dont dispose l'intéressé est une autorisation dérivée de l'autorisation d'établissement de son épouse, fondée sur le droit au regroupement familial. Elle suivra donc directement le sort réservé à cette dernière.</w:t>
      </w:r>
    </w:p>
    <w:p>
      <w:r>
        <w:rPr>
          <w:b/>
        </w:rPr>
        <w:t>E. 3.3</w:t>
      </w:r>
    </w:p>
    <w:p>
      <w:r>
        <w:t>Pour le surplus, interjeté par des parties qui ont succombé dans leurs conclusions, le recours, déposé dans le délai ( art. 117 et 100 al. 1 LTF ) et la forme ( art. 42 LTF ) prévus par la loi, est, de ce point de vue, recevable, puisqu'il est dirigé contre un jugement final ( art. 117 et 90 LTF ) rendu par un tribunal supérieur statuant en dernière instance cantonale ( art. 114 et 86 LTF ). Savoir si l'autorisation sollicitée peut être refusée est une question de fond et non de recevabilité (arrêt 2A.594/1996 du 17 mars 1997 consid. 1b).</w:t>
      </w:r>
    </w:p>
    <w:p>
      <w:r>
        <w:rPr>
          <w:b/>
        </w:rPr>
        <w:t>E. 4.1</w:t>
      </w:r>
    </w:p>
    <w:p>
      <w:r>
        <w:t>Le recours constitutionnel subsidiaire n'est recevable que pour invoquer la violation de droits constitutionnels, grief qui, sous peine d'irrecevabilité, doit faire l'objet d'une motivation spécifique imposée par l' art. 106 al. 2 LTF (applicable par renvoi de l' art. 117 LTF ; cf., sur la motivation, ATF 136 I 229 consid. 4.1 p. 235; 136 II 304 consid. 2.5 p. 314; 135 III 670 consid. 1.5 p. 674).</w:t>
      </w:r>
    </w:p>
    <w:p>
      <w:r>
        <w:rPr>
          <w:b/>
        </w:rPr>
        <w:t>E. 4.2</w:t>
      </w:r>
    </w:p>
    <w:p>
      <w:r>
        <w:t>En l'espèce, c'est en vain que l'on recherche dans le recours une référence au droit constitutionnel, dont aucune norme n'est même mentionnée. Les recourants se contentent, sur un ton purement appellatoire, de critiquer certains aspects de la décision du Tribunal cantonal. Le recours se révèle ainsi irrecevable.</w:t>
      </w:r>
    </w:p>
    <w:p>
      <w:r>
        <w:t>Il en va de même s'agissant de l'invocation du déni de justice. Le Tribunal cantonal a, en effet, clairement exposé, en fonction du droit cantonal, les motifs pour lesquels il s'estimait lié, d'une part, par certains faits, non contestés par les recourants à la suite du premier recours auprès du Département de l'économie, et, d'autre part, par la conclusion juridique retenue s'agissant de l'existence d'un motif d'expulsion. A cet égard, l' art. 110 LTF , dont le Tribunal fédéral assure le respect d'office, n'est d'aucun secours aux recourants. Ils auraient dû démontrer par une motivation précise, telle qu'exigée par l' art. 106 al. 2 LTF , que le Tribunal cantonal avait fait une application arbitraire du droit cantonal en refusant d'entrer en matière sur une décision revêtue de la force de chose jugée. Or, c'est en vain que l'on cherche un début de motivation en ce sens dans le présent recours, l'argument du déni de justice n'étant pas plus motivé que celui de l'arbitraire dans l'application du droit cantonal.</w:t>
      </w:r>
    </w:p>
    <w:p>
      <w:r>
        <w:rPr>
          <w:b/>
        </w:rPr>
        <w:t>E. 5</w:t>
      </w:r>
    </w:p>
    <w:p>
      <w:r>
        <w:t>Les considérants qui précèdent conduisent à l'irrecevabilité du recours traité comme recours constitutionnel subsidiaire. Succombant, les recourants supporteront solidairement les frais encourus devant le Tribunal fédéral ( art. 66 al. 1 et 5 LTF ). Il n'est pas alloué de dépens. La cause se révélant dénuée de chances de succès, la requête d'assistance judiciaire est rejetée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