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2C_156/2023 vom 21. März 2023</w:t>
      </w:r>
    </w:p>
    <w:p>
      <w:r>
        <w:t>Bundesgericht, 2023-03-21, DE</w:t>
      </w:r>
    </w:p>
    <w:p>
      <w:r>
        <w:rPr>
          <w:b/>
        </w:rPr>
        <w:t xml:space="preserve">Quelle: </w:t>
      </w:r>
      <w:r>
        <w:t>https://mcp.opencaselaw.ch/entscheid/bger_2C_156_2023</w:t>
      </w:r>
    </w:p>
    <w:p>
      <w:r>
        <w:t>FR: TF 2C_156/2023 du 21 mars 2023</w:t>
      </w:r>
    </w:p>
    <w:p>
      <w:r>
        <w:t>IT: TF 2C_156/2023 del 21 marzo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Beschwerdeführer bringen vor, vorliegend stelle sich im Zusammenhang mit dem zeitlichen Anwendungsbereich des anwendbaren Übereinkommens eine Frage von grundsätzlicher Bedeutung. Das Übereinkommen sei für die Schweiz am 1. Januar 2017 in Kraft getreten und gelte gemäss Art. 28 Abs. 6 MAC somit nur für den Zeitraum ab dem 1. Januar 2018. Dennoch leiste die ESTV die Amtshilfe für den Zeitraum vom 1. Januar 2014 bis 31. Dezember 2019. Eine solche Rückwirkung sehe Art. 28 Abs. 7 MAC jedoch bloss für Steuersachen im Zusammenhang mit vorsätzlichem Verhalten vor, das nach dem Strafrecht der ersuchenden Vertragspartei der strafrechtlichen Verfolgung unterliege. Die ersuchende Behörde habe mit ihren unbelegten Vorwürfen nicht dargelegt, inwiefern das Verhalten der Beschwerdeführer der strafrechtlichen Verfolgung unterliege. Nach Auffassung der Beschwerdeführer durfte die ESTV nicht in die entsprechenden Angaben der ersuchenden Behörde vertrauen und musste das Ersuchen mangels überzeugendem Nachweis einer strafbaren Handlung und des Vorsatzes für den Zeitraum vor dem 1. Januar 2018 abweisen.</w:t>
      </w:r>
    </w:p>
    <w:p>
      <w:r>
        <w:t>Ausserdem machen die Beschwerdeführer einen besonders bedeutenden Fall im Sinne von Art. 84 Abs. 2 BGG geltend. Sie führen aus, obwohl sich in den Akten klare Anhaltspunkte ergeben hätten, dass das Erfordernis der voraussichtlichen Erheblichkeit nicht erfüllt sei und das Spezialitätsprinzip verletzt werde, habe sich die Vorinstanz unter Hinweis auf das völkerrechtliche Vertrauensprinzips an die Angaben im Amtshilfeersuchen gebunden erachtet. Der Vorinstanz, so die Beschwerdeführer folgernd, sei damit eine Ermessensunterschreitung sowie eine Verletzung der Begründungspflicht vorzuwerfen. Damit habe sie elementare Verfahrensgrundsätze verletzt. Ausserdem weise das Verfahren im ersuchenden Staat schwere Mängel auf.</w:t>
      </w:r>
    </w:p>
    <w:p>
      <w:r>
        <w:rPr>
          <w:b/>
        </w:rPr>
        <w:t>E. 1.3</w:t>
      </w:r>
    </w:p>
    <w:p>
      <w:r>
        <w:t>Die Beschwerdeführer weisen im Hinblick auf die Rechtsfrage zum zeitlichen Anwendungsbereich zutreffend darauf hin, dass das Übereinkommen vom 25. Januar 1988 über die gegenseitige Amtshilfe in Steuersachen für die Schweiz am 1. Januar 2017 in Kraft trat und gemäss Art. 28 Abs. 6 MAC im Grundsatz ab dem 1. Januar 2018 Anwendung findet (vgl. AS 2016 5071 ff., S. 5071 und S. 5089; Urteile 2C_772/2021 vom 8. November 2022 E. 9.4.3, zur Publikation vorgesehen; 2C_780/2020 vom 10. März 2021 E. 3.1; 2C_160/2019 vom 5. November 2019 E. 3.6).</w:t>
      </w:r>
    </w:p>
    <w:p>
      <w:r>
        <w:rPr>
          <w:b/>
        </w:rPr>
        <w:t>E. 1.3.1</w:t>
      </w:r>
    </w:p>
    <w:p>
      <w:r>
        <w:t>Davon abweichend bestimmt Art. 28 Abs. 7 MAC, dass ungeachtet von Art. 28 Abs. 6 MAC dieses Übereinkommen für Steuersachen im Zusammenhang mit vorsätzlichem Verhalten gilt, das nach dem Strafrecht der ersuchenden Vertragspartei der strafrechtlichen Verfolgung unterliegt, und zwar ab dem Zeitpunkt des Inkrafttretens für eine Vertragspartei im Zusammenhang mit früheren Besteuerungszeiträumen oder Steuerverbindlichkeiten. Die Schweiz hat von der Möglichkeit des Vorbehalts nach Art. 30 Abs. 1 lit. f MAC Gebrauch gemacht und erklärt, sie wende Art. 28 Abs. 7 MAC nur auf Amtshilfe im Zusammenhang mit Besteuerungszeiträumen an, die am oder nach dem 1. Januar des dritten Jahres vor dem Jahr beginnen, in dem das Übereinkommen für eine Vertragspartei in Kraft getreten ist (vgl. AS 2016 5071 ff., S. 5090 f.) - mithin ab dem 1. Januar 2014.</w:t>
      </w:r>
    </w:p>
    <w:p>
      <w:r>
        <w:rPr>
          <w:b/>
        </w:rPr>
        <w:t>E. 1.3.2</w:t>
      </w:r>
    </w:p>
    <w:p>
      <w:r>
        <w:t>Das Bundesgericht hat sich zu Art. 28 Abs. 7 MAC, soweit ersichtlich, noch nicht ausführlich geäussert. Allerdings kritisieren die Beschwerdeführer im Wesentlichen nicht die Anwendung von Art. 28 Abs. 7 MAC an sich oder die Reichweite der Norm mit Blick auf das Vorliegen eines vorsätzlichen und strafrechtlich bedeutsamen Verhaltens. Vielmehr machen sie geltend, die ESTV hätte nicht der Angabe der ersuchenden Behörde Vertrauen schenken dürfen, wonach das Amtshilfeersuchen (auch) ein vorsätzliches Verhalten betreffe, das nach dem Strafrecht des ersuchenden Staats der strafrechtlichen Verfolgung unterliege. Die von den Beschwerdeführern sinngemäss aufgeworfene Grundsatzfrage beschlägt im Kern demnach nicht die Norm als solche oder deren Gehalt, sondern das völkerrechtliche Vertrauensprinzip. Mit dem völkerrechtlichen Grundsatz von Treu und Glauben hat sich das Bundesgericht hingegen immer wieder detailliert auseinandergesetzt (vgl. zuletzt Urteil 2C_109/2022 vom 30. Januar 2023 E. 4.2.2 m.w.H. und E. 4.6). Die von den Beschwerdeführern vorliegend sinngemäss aufgeworfene Frage betrifft angesichts der vorgebrachten Kritik am angefochtenen Urteil lediglich die einzelfallspezifische Rechtsanwendung im Kontext des völkerrechtlichen Vertrauensprinzips. Praxisgemäss fehlt es der Frage damit am Grundsatzcharakter (vgl. z.B. Urteil 2C_773/2022 vom 30. September 2022 E. 1.3).</w:t>
      </w:r>
    </w:p>
    <w:p>
      <w:r>
        <w:rPr>
          <w:b/>
        </w:rPr>
        <w:t>E. 1.4</w:t>
      </w:r>
    </w:p>
    <w:p>
      <w:r>
        <w:t>Den Beschwerdeführern ist auch nicht zu folgen, wenn sie in der vorliegenden Angelegenheit einen besonders bedeutenden Fall im Sinne von Art. 84 Abs. 2 BGG sehen.</w:t>
      </w:r>
    </w:p>
    <w:p>
      <w:r>
        <w:rPr>
          <w:b/>
        </w:rPr>
        <w:t>E. 1.4.1</w:t>
      </w:r>
    </w:p>
    <w:p>
      <w:r>
        <w:t>Soweit eine Ermessensunterschreitung der Vorinstanz überhaupt eine Verletzung eines elementaren Verfahrensgrundsatzes im Sinne von Art. 84 Abs. 2 BGG begründet, gelingt es den Beschwerdeführern nicht, darzutun, dass eine solche vorinstanzliche Unterschreitung des Ermessens vorliegt. Die Vorinstanz begründet ausführlich, weshalb in der vorliegenden Angelegenheit in die Angaben im Amtshilfeersuchen vom 17. März 2021 vertraut werden könne, dass keine Anhaltspunkte vorlägen, wonach das Spezialitätsprinzip nicht eingehalten würde, und dass sich deshalb keine weitergehenden Abklärungen oder die Einholung von weiteren Zusicherungen aufgedrängt hätten (vgl. E. 3.2.3 des angefochtenen Urteils; zur entsprechenden Zusicherung der ersuchenden Behörde vgl. auch Bst. A.b hiervor). Eine Verletzung von elementaren Verfahrensgrundsätzen ist nicht zu erkennen.</w:t>
      </w:r>
    </w:p>
    <w:p>
      <w:r>
        <w:rPr>
          <w:b/>
        </w:rPr>
        <w:t>E. 1.4.2</w:t>
      </w:r>
    </w:p>
    <w:p>
      <w:r>
        <w:t>Gleiches gilt mit Blick auf die Beanstandung der Beschwerdeführer, die Vorinstanz habe das Erfordernis der voraussichtlichen Erheblichkeit der ersuchten Informationen nicht überprüft. Die Beschwerdeführer zeigen nicht hinreichend auf, welche im vorinstanzlichen Verfahren vorgebrachte Kritik an der Schlussverfügung der ESTV vom 13. Dezember 2021 und dem Erfordernis der voraussichtlichen Erheblichkeit nicht beurteilt worden wäre, sodass der Anspruch auf rechtliches Gehör grob verletzt wäre (zu den im vorinstanzlichen Verfahren vorgebrachten Rügen vgl. E. 3 des angefochtenen Urteils; vgl. auch Urteile 2C_622/2022 vom 29. Juli 2022 E. 1.3.1; 2C_567/2022 vom 26. Juli 2022 E. 3.2). Auch diesbezüglich ist keine Verletzung von elementaren Verfahrensgrundsätzen zu erkennen.</w:t>
      </w:r>
    </w:p>
    <w:p>
      <w:r>
        <w:rPr>
          <w:b/>
        </w:rPr>
        <w:t>E. 1.4.3</w:t>
      </w:r>
    </w:p>
    <w:p>
      <w:r>
        <w:t>Im Übrigen vermögen die Beschwerdeführer mit dem blossen Hinweis darauf, dass es sich beim vom Amtshilfeverfahren betroffenen Beschwerdeführer um einen Palästinenser handle, nicht glaubhaft zu machen, dass das Verfahren im Ausland schwere Mängel aufweisen würde. Die Rüge, wonach es kein Geheimnis sei, dass die palästinensische Bevölkerung von den israelischen Behörden regelmässig eine andere Behandlung erführen, als jüdische Israeli, wird nicht weiter konkretisiert und bleibt für den vorliegenden Fall des betroffenen Beschwerdeführers unsubstanziiert. Sie genügt nicht den Begründungsanforderungen ( Art. 42 Abs. 2 BGG ). Ebenfalls nicht ausreichend begründet sind die Ausführungen der Beschwerdeführer zur geplanten Justizreform in Israel, die nicht auf die vorliegend zu beurteilende Angelegenheit bezogen, sondern allgemein gehalten sind.</w:t>
      </w:r>
    </w:p>
    <w:p>
      <w:r>
        <w:rPr>
          <w:b/>
        </w:rPr>
        <w:t>E. 1.5</w:t>
      </w:r>
    </w:p>
    <w:p>
      <w:r>
        <w:t>Nach dem Dargelegten liegt keine Rechtsfrage von grundsätzlicher Bedeutung im Sinne von Art. 84a BGG vor. Es gelingt den Beschwerdeführern auch nicht, die Verletzung von elementaren Verfahrensgrundsätzen oder das Vorliegen von schweren Verfahrensmängeln aufzuzeigen, weshalb es sich vorliegend nicht um einen besonderen Fall im Sinne von Art. 84a BGG in Verbindung mit Art. 84 Abs. 2 BGG handelt.</w:t>
      </w:r>
    </w:p>
    <w:p>
      <w:r>
        <w:rPr>
          <w:b/>
        </w:rPr>
        <w:t>E. 2</w:t>
      </w:r>
    </w:p>
    <w:p>
      <w:r>
        <w:t>Im Ergebnis ist auf die Beschwerde in öffentlich-rechtlichen Angelegenheiten nicht einzutreten. 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