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2C_156/2022 vom 15. Februar 2022</w:t>
      </w:r>
    </w:p>
    <w:p>
      <w:r>
        <w:t>Bundesgericht, 2022-02-15, DE</w:t>
      </w:r>
    </w:p>
    <w:p>
      <w:r>
        <w:rPr>
          <w:b/>
        </w:rPr>
        <w:t xml:space="preserve">Quelle: </w:t>
      </w:r>
      <w:r>
        <w:t>https://mcp.opencaselaw.ch/entscheid/bger_2C_156_2022</w:t>
      </w:r>
    </w:p>
    <w:p>
      <w:r>
        <w:t>FR: TF 2C_156/2022 du 15 février 2022</w:t>
      </w:r>
    </w:p>
    <w:p>
      <w:r>
        <w:t>IT: TF 2C_156/2022 del 15 febbraio 2022</w:t>
      </w:r>
    </w:p>
    <w:p>
      <w:pPr>
        <w:pStyle w:val="Heading2"/>
      </w:pPr>
      <w:r>
        <w:t>Erwägungen</w:t>
      </w:r>
    </w:p>
    <w:p>
      <w:r>
        <w:rPr>
          <w:b/>
        </w:rPr>
        <w:t>E. 1.1</w:t>
      </w:r>
    </w:p>
    <w:p>
      <w:r>
        <w:t>Die A.________ GmbH beantragte beim Volkswirtschaftsdepartement des Kantons Solothurn, ihr einen Härtefallbeitrag gemäss der Verordnung über Härtefallmassnahmen für Unternehmen im Zusammenhang mit Covid-19 auszurichten, was dieses am 30. November 2021 ablehnte.</w:t>
      </w:r>
    </w:p>
    <w:p>
      <w:r>
        <w:rPr>
          <w:b/>
        </w:rPr>
        <w:t>E. 1.2</w:t>
      </w:r>
    </w:p>
    <w:p>
      <w:r>
        <w:t>Das Verwaltungsgericht des Kantons Solothurn wies die hiergegen gerichtete Beschwerde am 7. Februar 2022 ab.</w:t>
      </w:r>
    </w:p>
    <w:p>
      <w:r>
        <w:rPr>
          <w:b/>
        </w:rPr>
        <w:t>E. 1.3</w:t>
      </w:r>
    </w:p>
    <w:p>
      <w:r>
        <w:t>Die A.________ GmbH gelangt hiergegen an das Bundesgericht mit dem sinngemässen Antrag, dessen Urteil aufzuheben und das Gesuch "erneut prüfen zu lassen".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w:t>
      </w:r>
    </w:p>
    <w:p>
      <w:r>
        <w:rPr>
          <w:b/>
        </w:rPr>
        <w:t>E. 2.2</w:t>
      </w:r>
    </w:p>
    <w:p>
      <w:r>
        <w:t>Die vorliegende Beschwerde genügt diesen Voraussetzungen nicht: Es reicht nicht, den angefochtenen Entscheid lediglich als "nicht nachvollziehbar" zu bezeichnen. Die Vorinstanz ist davon ausgegangen, dass die Beschwerdeführerin nie den erforderlichen Umsatzrückgang von 25 % erreicht habe, weshalb ihr zu Recht kein Härtefallbeitrag zugesprochen worden sei. Die Beschwerdeführerin setzt sich mit den Ausführungen der Vorinstanz hierzu nicht auseinander; sie legt - entgegen ihrer Begründungspflicht - nicht dar, inwiefern das angefochtene Urteil Rechtsnormen verletzen würde. Der Verweis auf ihre Buchhaltung, die sie teilweise ihrer Eingabe beilegt, genügt hierzu offensichtlich nicht. Es ist nicht am Bundesgericht, aufgrund dieser Unterlagen nach allfälligen Rechtsverletzungen zu suchen.</w:t>
      </w:r>
    </w:p>
    <w:p>
      <w:r>
        <w:rPr>
          <w:b/>
        </w:rPr>
        <w:t>E. 2.3</w:t>
      </w:r>
    </w:p>
    <w:p>
      <w:r>
        <w:t>Auf die Beschwerde ist durch die Abteilungspräsidentin im Verfahren nach Art. 108 (Abs. 1 lit. b) BGG nicht einzutreten. Es braucht nicht weiter geprüft zu werden, ob der Beschwerde in öffentlich-rechtlichen Angelegenheiten der Ausschlussgrund von Art. 83 lit. k BGG entgegenstehen würde, wonach dieses Rechtsmittel unzulässig ist, falls auf die Ausrichtung der Subvention kein Anspruch besteht. Die Verletzung verfassungsmässiger Rechte wäre im Rahmen der subsidiären Verfassungsbeschwerde qualifiziert zu begründen (vgl. Art. 106 Abs. 2 BGG ), was die Beschwerdeführerin nicht tut.</w:t>
      </w:r>
    </w:p>
    <w:p>
      <w:r>
        <w:rPr>
          <w:b/>
        </w:rPr>
        <w:t>E. 3</w:t>
      </w:r>
    </w:p>
    <w:p>
      <w:r>
        <w:t>Dem Ausgang des Verfahrens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