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2C_156/2021 vom 1. September 2021</w:t>
      </w:r>
    </w:p>
    <w:p>
      <w:r>
        <w:t>Bundesgericht, 2021-09-01, DE</w:t>
      </w:r>
    </w:p>
    <w:p>
      <w:r>
        <w:rPr>
          <w:b/>
        </w:rPr>
        <w:t xml:space="preserve">Quelle: </w:t>
      </w:r>
      <w:r>
        <w:t>https://mcp.opencaselaw.ch/entscheid/bger_2C_156_2021</w:t>
      </w:r>
    </w:p>
    <w:p>
      <w:r>
        <w:t>FR: TF 2C_156/2021 du 1 septembre 2021</w:t>
      </w:r>
    </w:p>
    <w:p>
      <w:r>
        <w:t>IT: TF 2C_156/2021 del 1 settembre 2021</w:t>
      </w:r>
    </w:p>
    <w:p>
      <w:pPr>
        <w:pStyle w:val="Heading2"/>
      </w:pPr>
      <w:r>
        <w:t>Erwägungen</w:t>
      </w:r>
    </w:p>
    <w:p>
      <w:r>
        <w:rPr>
          <w:b/>
        </w:rPr>
        <w:t>E. 1.1</w:t>
      </w:r>
    </w:p>
    <w:p>
      <w:r>
        <w:t>Der kantonal letztinstanzliche Entscheid über die Verweigerung der unentgeltlichen Rechtspflege stellt einen Zwischenentscheid dar. Als solcher kann er selbständig angefochten werden, falls er einen nicht wieder gutzumachenden Nachteil bewirkt ( Art. 93 Abs. 1 lit. a BGG ). Zwischenentscheide, mit denen die unentgeltliche Rechtspflege verweigert wird, haben in der Regel einen solchen Nachteil zur Folge ( BGE 129 I 129 E. 1.1; Urteil 2C_297/2020 vom 8. Mai 2020 E. 2.1). Dies trifft auch auf den hier in Frage stehenden Zwischenentscheid zu. Mit dem angefochtenen Beschluss verweigerte das Verwaltungsgericht des Kantons Bern den Beschwerdeführenden die unentgeltliche Rechtspflege für das verwaltungsgerichtliche Verfahren. Der Umstand, dass die Beschwerdeführenden ihre Interessen ohne den Beistand eines Anwalts wahrnehmen müssen und einen Kostenvorschuss bezahlen muss, kann einen nicht wieder gutzumachenden Nachteil im Sinne von Art. 93 Abs. 1 lit. a BGG bewirken.</w:t>
      </w:r>
    </w:p>
    <w:p>
      <w:r>
        <w:rPr>
          <w:b/>
        </w:rPr>
        <w:t>E. 1.2</w:t>
      </w:r>
    </w:p>
    <w:p>
      <w:r>
        <w:t>Nach dem Grundsatz der Einheit des Verfahrens sind Zwischenentscheide mit dem in der Hauptsache zulässigen Rechtsmittel anzufechten ( BGE 137 III 380 E. 1.1). Auf dem Gebiet des Ausländerrechts ist die Beschwerde in öffentlich-rechtlichen Angelegenheiten gegen Entscheide ausgeschlossen, welche Bewilligungen betreffen, auf die weder das Bundesrecht noch das Völkerrecht einen Anspruch einräumen ( Art. 83 lit. c Ziff. 2 BGG ).</w:t>
      </w:r>
    </w:p>
    <w:p>
      <w:r>
        <w:t>Vorliegend geht es um die erstmalige Erteilung einer Aufenthaltsbewilligung zugunsten des Beschwerdeführers 1. Darauf hat dieser grundsätzlich einen Rechtsanspruch (vgl. Art. 43 Abs. 1 AIG SR 142.20), da er mit der in der Schweiz niedergelassenen Beschwerdeführerin 2 verheiratet ist. Da der Rechtsweg in der Hauptsache offensteht ( Art. 83 lit. c Ziff. 2 BGG e contrario) und sich die Anfechtung des Zwischenentscheides nach diesem Rechtsweg richtet, ist die vorliegende Beschwerde demnach als Beschwerde in öffentlich-rechtlichen Angelegenheiten entgegen zu nehmen, auch wenn sich der Streitgegenstand vor Bundesgericht auf die Gewährung der unentgeltlichen Rechtspflege im vorinstanzlichen Verfahren beschränkt ( BGE 137 III 380 E. 1.1). Als Verfügungsadressaten sind die Beschwerdeführenden gestützt auf Art. 89 Abs. 1 lit. a BGG zur Beschwerde in öffentlich-rechtlichen Angelegenheiten legitimiert; auf das form- und fristgerecht eingereichte Rechtsmittel ( Art. 42 und Art. 100 Abs. 1 BGG ) ist daher einzutreten.</w:t>
      </w:r>
    </w:p>
    <w:p>
      <w:r>
        <w:rPr>
          <w:b/>
        </w:rPr>
        <w:t>E. 2.1</w:t>
      </w:r>
    </w:p>
    <w:p>
      <w:r>
        <w:t>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und von kantonalem Recht gilt eine qualifizierte Rüge- und Substanziierungspflicht ( Art. 106 Abs. 2 BGG ; BGE 139 I 229 E. 2.2).</w:t>
      </w:r>
    </w:p>
    <w:p>
      <w:r>
        <w:rPr>
          <w:b/>
        </w:rPr>
        <w:t>E. 2.2</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mit Hinweisen).</w:t>
      </w:r>
    </w:p>
    <w:p>
      <w:r>
        <w:rPr>
          <w:b/>
        </w:rPr>
        <w:t>E. 3</w:t>
      </w:r>
    </w:p>
    <w:p>
      <w:r>
        <w:t>Streitgegenstand bildet die Frage, ob die Vorinstanz die unentgeltliche Rechtspflege und Verbeiständung im verwaltungsgerichtlichen Verfahren zu Recht verweigert hat.</w:t>
      </w:r>
    </w:p>
    <w:p>
      <w:r>
        <w:rPr>
          <w:b/>
        </w:rPr>
        <w:t>E. 3.1</w:t>
      </w:r>
    </w:p>
    <w:p>
      <w:r>
        <w:t>Der Anspruch auf unentgeltliche Rechtspflege und Verbeiständung wird in erster Linie durch § 111 Abs. 1 des Gesetzes (des Kantons Bern) vom 23. Mai 1989 über die Verwaltungsrechtspflege (VPRG/BE; BSG 155.21) geregelt. Unabhängig davon besteht ein solcher Anspruch aufgrund von Art. 29 Abs. 3 BV ( BGE 129 I 129 E. 2.1). 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rPr>
          <w:b/>
        </w:rPr>
        <w:t>E. 3.2</w:t>
      </w:r>
    </w:p>
    <w:p>
      <w:r>
        <w:t>Ein Prozess hat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 BGE 138 III 217 E. 2.2.4). Ob im Einzelfall genügende Erfolgsaussichten bestehen, beurteilt sich aufgrund einer vorläufigen und summarischen Prüfung der Prozessaussichten, wobei die Verhältnisse im Zeitpunkt der Einreichung des Gesuchs massgebend sind ( BGE 142 III 138 E. 5.1).</w:t>
      </w:r>
    </w:p>
    <w:p>
      <w:r>
        <w:rPr>
          <w:b/>
        </w:rPr>
        <w:t>E. 4</w:t>
      </w:r>
    </w:p>
    <w:p>
      <w:r>
        <w:t>In der Hauptsache ist strittig, ob dem Beschwerdeführer 1 eine Aufenthaltsbewilligung zu gewähren ist.</w:t>
      </w:r>
    </w:p>
    <w:p>
      <w:r>
        <w:rPr>
          <w:b/>
        </w:rPr>
        <w:t>E. 4.1</w:t>
      </w:r>
    </w:p>
    <w:p>
      <w:r>
        <w:t>Gemäss Art. 43 Abs. 1 lit. c AIG hat der ausländische Ehegatte einer Person mit Niederlassungsbewilligung grundsätzlich Anspruch auf Erteilung und Verlängerung einer Aufenthaltsbewilligung. Der Rechtsanspruch gilt unter dem Vorbehalt von Erlöschensgründen gemäss Art. 51 Abs. 2 AIG ; birgt der Nachzug eines Familienangehörigen die Gefahr der Fürsorgeabhängigkeit der nachzuziehenden Person oder eine Erhöhung der finanziellen Abhängigkeit der anwesenden Person, kann es sich im öffentlichen Interesse rechtfertigen, von der Erteilung einer Aufenthaltsbewilligung für den Familienangehörigen abzusehen ( Art. 62 Abs. 1 lit. e AIG , Urteile 2C_984/2018 vom 7. April 2020 E. 5.2, mit Hinweisen; 2C_834/2016 vom 31. Juli 2017 E. 2.1). Bei diesem Widerrufsgrund geht es in erster Linie darum, eine weitergehende (künftige) Belastung der öffentlichen Wohlfahrt zu vermeiden. Ob dies der Fall sein wird, ist allerdings kaum je mit Sicherheit feststellbar. Es ist daher auf die wahrscheinliche finanzielle Entwicklung der betroffenen Person und ihrer Familie abzustellen. Für die Bejahung des Widerrufsgrunds nach Art. 62 lit. e AIG ist eine konkrete Gefahr der Sozialhilfeabhängigkeit erforderlich und es kann dafür nicht auf Hypothesen und pauschalierte Gründe abgestellt werden. Ein Widerruf soll in Betracht kommen, wenn eine Person hohe finanzielle Unterstützungsleistungen erhalten hat und nicht damit gerechnet werden kann, dass sie in Zukunft für ihren Lebensunterhalt sorgen wird. Im Unterschied zum Fall des Widerrufs einer Niederlassungsbewilligung gestützt auf Art. 63 Abs. 1 lit. c AIG setzt Art. 62 lit. e AIG nicht voraus, dass die Sozialhilfeabhängigkeit "dauerhaft und in erheblichem Mass" vorliegt ( BGE 137 I 351 E. 3.9, Urteil 2C_1160/2013 vom 11. Juli 2014 E. 4.1).</w:t>
      </w:r>
    </w:p>
    <w:p>
      <w:r>
        <w:rPr>
          <w:b/>
        </w:rPr>
        <w:t>E. 4.2</w:t>
      </w:r>
    </w:p>
    <w:p>
      <w:r>
        <w:t>Die Vorinstanz kam zum Schluss, dass der Prozess in der Hauptsache im Sinne von § 111 Abs. 1 VRPG/BE als aussichtslos zu qualifizieren sei, wobei sie sich auf folgende Erwägungen stützte:</w:t>
      </w:r>
    </w:p>
    <w:p>
      <w:r>
        <w:t>Die Beschwerdeführerin 2 verfüge über keine Ausbildung, sei nie einer Erwerbstätigkeit nachgegangen und habe über Fr. 440'000.-- Sozialhilfegelder bezogen. Der Beschwerdeführer 1 habe zwar vor der Vorinstanz eine (neue) Arbeitsbestätigung eingereicht, welche ihm eine unbefristete Arbeitsstelle in V.________ mit einem monatlichen Lohn von Fr. 5'000.-- zusichere, das Dokument sei jedoch mit etlichen Ungereimtheiten behaftet. Während die vor der Unterinstanz eingereichte Arbeitsbestätigung noch U.________ als Arbeitsort angegeben habe, sei in der neuen von "einem unserer Lokale in V.________" die Rede. Das neue Dokument umschreibe weder die Art der Tätigkeit noch enthalte es konkrete Angaben zu den Lokalen, in denen der Beschwerdeführer tätig werden soll. Eine Internetrecherche habe ferner ergeben, dass die Arbeitgeberin nicht über eigene Gaststätten in V.________ verfüge; zwar gebe es Standorte, die einem der Arbeitgeberin verbundenem Unternehmen gehörten, fraglich bleibe aber, ob die Arbeitgeberin berechtigt sei, für jene Lokale eine Arbeitsbestätigung auszustellen. Die Zweifel würden schliesslich noch dadurch bestärkt, dass gemäss dem Handelsregisterauszug die unterzeichnende Person als Gesellschafterin und Geschäftsführerin der Arbeitgeberin gelöscht worden sei und die Arbeitsbestätigung keine Angaben zu den übrigen Anstellungsbedingungen enthalte. Zu guter Letzt erscheine der vereinbarte Lohn von Fr. 5'000.- im Lichte des Gesamtarbeitsvertrags im Schweizer Gastgewerbe (L-GAV), welcher für Mitarbeiter ohne Berufslehre in der Gastronomie einen Mindestlohn von Fr. 3'470.-- vorsehe, als unrealistisch und aufgrund der aktuellen Corona-Situation unwahrscheinlich.</w:t>
      </w:r>
    </w:p>
    <w:p>
      <w:r>
        <w:rPr>
          <w:b/>
        </w:rPr>
        <w:t>E. 4.3</w:t>
      </w:r>
    </w:p>
    <w:p>
      <w:r>
        <w:t>Massgeblich bei der Prüfung der Prozesschancen ist eine vorläufige und summarische Prüfung der Prozessaussichten im Zeitpunkt der Einreichung des Gesuchs um unentgeltliche Rechtspflege, d.h. es muss untersucht werden, ob gestützt auf die Akten im Einzelfall genügende Erfolgsaussichten in der Hauptsache bestanden. Indem die Vorinstanz zusätzlich zum Aktenstudium sich auf eine Internetrecherche und einen Handelsregisterauszug der Arbeitgeberin stützte, um die Realität der vorgelegten Arbeitsbestätigung in Frage zu ziehen, hat sie im Grunde schon eine Endbeurteilung vorgenommen. Dies geht über eine summarische Prüfung hinaus.</w:t>
      </w:r>
    </w:p>
    <w:p>
      <w:r>
        <w:t>Ein reines Aktenstudium ermöglicht vorliegend nicht den Schluss, dass der Angelegenheit kein Erfolg beschieden sein könnte. Den von der Vorinstanz gegenüber der Arbeitsbewilligung erhobenen Einwänden ist entgegen zu halten, dass nicht schon die Tatsache, dass der neue Arbeitsort in V.________ ist, als Indiz für eine fiktive Arbeitsofferte gewertet werden darf. Zu Recht weisen die Beschwerdeführenden zudem darauf hin, dass es dem Beschwerdeführer 1 nicht zum Vorwurf gereichen kann, eine Stelle in V.________ gesucht zu haben, nachdem die Unterinstanz festgestellt hatte, dass eine Arbeitsaufnahme in U.________ mit zu hohen Kosten verbunden wäre, um eine Loslösung der Familie von der Sozialhilfe zu ermöglichen. Schliesslich ist auch der Vorwurf, die Arbeitsbedingungen seien in der neu vorgelegten Arbeitsbestätigung nicht ausreichend substanziiert worden, vor dem Hintergrund zu relativieren, dass diese im ursprünglich eingereichten Arbeitsvertrag definiert worden waren. Aufgrund dessen erscheint es prima vista nicht ausgeschlossen, dass der Nachzug des Beschwerdeführers 1 zu einer Reduzierung der Sozialhilfeabhängigkeit der Beschwerdeführerin 2 und ihrer Familie führen könnte. Die Frage, ob die Beschwerdeführerin 2 über den Flüchtlingsstatus verfügt, kann hier offengelassen werden, wird aber bei der Beurteilung in der Hauptsache zu berücksichtigen sein.</w:t>
      </w:r>
    </w:p>
    <w:p>
      <w:r>
        <w:rPr>
          <w:b/>
        </w:rPr>
        <w:t>E. 5</w:t>
      </w:r>
    </w:p>
    <w:p>
      <w:r>
        <w:t>Die Beschwerde erweist sich insofern als begründet und ist gutzuheissen. Der angefochtene Entscheid ist somit aufzuheben und an die Vorinstanz zurückzuweisen, welche noch darüber zu befinden haben wird, ob die Beschwerdeführenden mittellos im Licht von § 111 Abs. 1 VRPG/BE ist.</w:t>
      </w:r>
    </w:p>
    <w:p>
      <w:r>
        <w:t>Bei diesem Ausgang des Verfahrens sind keine Gerichtskosten aufzuerlegen ( Art. 66 Abs. 1 und 4 BGG ). Der Kanton Bern hat die Beschwerdeführer für das Verfahren vor dem Bundesgericht angemessen zu entschädigen ( Art. 68 Abs. 1 und 2 BGG ). Das Gesuch um unentgeltliche Verbeiständung wird damit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