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2C_156/2016 vom 17. Februar 2016</w:t>
      </w:r>
    </w:p>
    <w:p>
      <w:r>
        <w:t>Bundesgericht, 2016-02-17, DE</w:t>
      </w:r>
    </w:p>
    <w:p>
      <w:r>
        <w:rPr>
          <w:b/>
        </w:rPr>
        <w:t xml:space="preserve">Quelle: </w:t>
      </w:r>
      <w:r>
        <w:t>https://mcp.opencaselaw.ch/entscheid/bger_2C_156_2016</w:t>
      </w:r>
    </w:p>
    <w:p>
      <w:r>
        <w:t>FR: TF 2C_156/2016 du 17 février 2016</w:t>
      </w:r>
    </w:p>
    <w:p>
      <w:r>
        <w:t>IT: TF 2C_156/2016 del 17 febbraio 2016</w:t>
      </w:r>
    </w:p>
    <w:p>
      <w:pPr>
        <w:pStyle w:val="Heading2"/>
      </w:pPr>
      <w:r>
        <w:t>Erwägungen</w:t>
      </w:r>
    </w:p>
    <w:p>
      <w:r>
        <w:rPr>
          <w:b/>
        </w:rPr>
        <w:t>E. 1</w:t>
      </w:r>
    </w:p>
    <w:p>
      <w:r>
        <w:t>Der 1980 geborene mazedonische Staatsangehörige A.________ reiste 1991 in die Schweiz ein und erhielt die Niederlassungsbewilligung. Er wurde am 30. August 2005 wegen vollendeter und versuchter sexueller Nötigung zu zwei Jahren Gefängnis und sieben Jahren (bedingt vollziehbarer) Landesverweisung verurteilt. Im Jahr 2010 musste er wegen grober Verletzung der Verkehrsregeln bestraft werden. Mit Urteil vom 6. Mai 2014 wurde er wegen mehrfacher versuchter schwerer Körperverletzung, einfacher Körperverletzung, Angriffs sowie Widerhandlung gegen das Waffengesetz zu drei Jahren Freiheitsstrafe verurteilt, davon zwei Jahre teilbedingt. Mitte 2015 war er im Betreibungsregister mit Betreibungen im Umfang von gut 90'000 Franken sowie mit 31 offenen Verlustscheinen im Betrag von rund 87'000 Franken verzeichnet.</w:t>
      </w:r>
    </w:p>
    <w:p>
      <w:r>
        <w:t>Mit Verfügung vom 2. Februar 2015 widerrief das Amt für Migration des Kantons Basel-Landschaft die Niederlassungsbewilligung von A.________ und ordnete seine Wegweisung an. Die gegen diese Verfügung erhobene Beschwerde wies der Regierungsrat des Kantons Basel-Landschaft am 7. Juli 2015 ab. Gegen diesen Entscheid gelangte der Betroffene an das Kantonsgericht, Abteilung Verfassungs- und Verwaltungsrecht, des Kantons Basel-Landschaft; er ersuchte um Gewährung der unentgeltlichen Rechtspflege und Verbeiständung. Am 2. Oktober 2015 setzte das Kantonsgericht eine Nachfrist an zur Einreichung des Formulars "Gesuch um unentgeltliche Rechtspflege" einschliesslich der erforderlichen Belege. Da dieser Auflage keine Folge geleistet wurde, wies das Kantonsgericht das Gesuch mit Präsidialverfügung vom 12. November 2015 ab. Die dagegen erhobene Einsprache wies das Kantonsgericht mit Beschluss vom 6. Januar 2016 ab.</w:t>
      </w:r>
    </w:p>
    <w:p>
      <w:r>
        <w:t>Mit Beschwerde in öffentlich-rechtlichen Angelegenheiten, ev. subsidiärer Verfassungsbeschwerde, vom 16. Februar 2016 beantragt A.________ dem Bundesgericht, es sei der Beschluss des Kantonsgerichts aufzuheben; es sei die Vorinstanz anzuweisen, ihm für das appellationsgerichtliche (gemeint ist: das kantonsgerichtliche) Verfahren die unentgeltliche Rechtspflege mit dem Unterzeichner als Rechtsbeistand zu bewilligen.</w:t>
      </w:r>
    </w:p>
    <w:p>
      <w:r>
        <w:t>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2C_9/2015 vom 8. Januar 2015 E. 2.1). Stützt sich schliesslich der angefochtene Entscheid, wie vorliegend, auf kantonales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Der angefochtene Beschluss stützt sich auf den mit Art. 29 Abs. 3 BV übereinstimmenden § 22 des basel-landschaftlichen Gesetzes vom 16. Dezember 1993 über die Verfassungs- und Verwaltungsprozessordnung (Verwaltungsprozessordnung, VPO). Danach kann eine Partei, der die nötigen Mittel fehlen und deren Begehren nicht aussichtslos erscheint, auf ihr Begehren von der Bezahlung der Verfahrenskosten befreit werden (Abs. 1). Unter den gleichen Voraussetzungen kann ihr der kostenlose Beizug eines Anwalts bzw. einer Anwältin gewährt werden, sofern dies zur Wahrung ihrer Rechte notwendig erscheint (Abs. 2). Gemäss § 22 Abs. 1 zweiter Satz VPO gilt zur Darlegung der Mittellosigkeit als subsidiäres kantonales Recht die ZPO.</w:t>
      </w:r>
    </w:p>
    <w:p>
      <w:r>
        <w:rPr>
          <w:b/>
        </w:rPr>
        <w:t>E. 2.2.1</w:t>
      </w:r>
    </w:p>
    <w:p>
      <w:r>
        <w:t>Das Kantonsgericht hat in E. 2.3 die Aussichtslosigkeit der Beschwerde festgestellt. Mit den Erfolgsaussichten der Beschwerde als Voraussetzung für die Gewährung der unentgeltlichen Rechtspflege setzt sich der Beschwerdeführer umfangreich auseinander.</w:t>
      </w:r>
    </w:p>
    <w:p>
      <w:r>
        <w:rPr>
          <w:b/>
        </w:rPr>
        <w:t>E. 2.2.2</w:t>
      </w:r>
    </w:p>
    <w:p>
      <w:r>
        <w:t>Das Kantonsgericht hat zusätzlich in E. 2.2 festgehalten, dass der Beschwerdeführer seiner Mitwirkungspflicht bezüglich der Feststellung der finanziellen Verhältnisse nicht nachgekommen sei, womit die dafür zuständige Präsidentin die Bedürftigkeit zu Recht verneint habe.</w:t>
      </w:r>
    </w:p>
    <w:p>
      <w:r>
        <w:t>Der Beschwerdeführer bestreitet nicht, dass er der Aufforderung vom 2. Oktober 2015, das Formular "Gesuch um unentgeltliche Rechtspflege" sowie Belege einzureichen bzw. seine finanziellen Verhältnisse darzulegen, nicht nachgekommen ist. Ebenso wenig setzt er sich mit der Rechtsauffassung der Vorinstanz auseinander, dass die Nachreichung von Informationen über die finanziellen Verhältnisse erst im Einspracheverfahren angesichts der Nachfristansetzung vom 2. Oktober 2015 verspätet sei. Er kommt auf diese Gegebenheiten im Rahmen seiner Schilderung der Prozessgeschichte (Beschwerdeschrift Rz 10 - 12) sowie in Rz 51 der Beschwerdeschrift zu sprechen. Er begnügt sich aber mit der Feststellung, dass ab November 2015 eine Lohnpfändung stattfinde. Dazu erklärt er, dass mit dem Pfändungsprotokoll vom 20. August 2015 absehbar gewesen sei, dass eine Lohnpfändung erfolgen werde, sei dies still oder ausdrücklich; das Pfändungsprotokoll habe er "rechtzeitig aufgelegt". Diesen Äusserungen lässt sich auch nicht im Ansatz entnehmen, inwiefern der Beschluss des Kantonsgerichts vom 6. Januar 2016 bzw. die vorausgehende Präsidialverfügung vom 12. November 2015 dem Beschwerdeführer zustehende verfassungsmässige Rechte missachtet oder sonst wie schweizerisches Recht verletzt hätten.</w:t>
      </w:r>
    </w:p>
    <w:p>
      <w:r>
        <w:rPr>
          <w:b/>
        </w:rPr>
        <w:t>E. 2.3</w:t>
      </w:r>
    </w:p>
    <w:p>
      <w:r>
        <w:t>Das Fehlen der Bedürftigkeit bzw. des Bedürftigkeitsnachweises rechtfertigte für sich allein die Verweigerung der unentgeltlichen Rechtspflege. Da es in diesem Punkt an einer den gesetzlichen Anforderungen genügenden Beschwerdebegründung fehlt, ist nach dem vorstehend Ausgeführten (E. 2.1) mit Entscheid des Abteilungspräsidenten als Einzelrichter im vereinfachten Verfahren nach Art. 108 BGG auf die Beschwerde nicht einzutreten.</w:t>
      </w:r>
    </w:p>
    <w:p>
      <w:r>
        <w:rPr>
          <w:b/>
        </w:rPr>
        <w:t>E. 2.4</w:t>
      </w:r>
    </w:p>
    <w:p>
      <w:r>
        <w:t>Dem auch für das bundesgerichtliche Verfahren gestellten Gesuch um unentgeltliche Rechtspflege kann schon darum nicht entsprochen werden, weil die Beschwerde von vornherein aussichtslos erschien ( Art. 64 BGG ).</w:t>
      </w:r>
    </w:p>
    <w:p>
      <w:r>
        <w:t>Damit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