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155/2023 vom 2. Mai 2023</w:t>
      </w:r>
    </w:p>
    <w:p>
      <w:r>
        <w:t>Bundesgericht, 2023-05-02, FR</w:t>
      </w:r>
    </w:p>
    <w:p>
      <w:r>
        <w:rPr>
          <w:b/>
        </w:rPr>
        <w:t xml:space="preserve">Quelle: </w:t>
      </w:r>
      <w:r>
        <w:t>https://mcp.opencaselaw.ch/entscheid/bger_2C_155_2023</w:t>
      </w:r>
    </w:p>
    <w:p>
      <w:r>
        <w:t>FR: TF 2C 155/2023 du 2 mai 2023</w:t>
      </w:r>
    </w:p>
    <w:p>
      <w:r>
        <w:t>IT: TF 2C 155/2023 del 2 maggio 2023</w:t>
      </w:r>
    </w:p>
    <w:p>
      <w:pPr>
        <w:pStyle w:val="Heading2"/>
      </w:pPr>
      <w:r>
        <w:t>Regeste</w:t>
      </w:r>
    </w:p>
    <w:p>
      <w:r>
        <w:t>Retrait du recours - (levée du secret d'avocat - honoraires impayés) | Droit fondamental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2 avril 2023, A.________ a déclaré retirer le recours interjeté dans la cause 2C_155/2023.</w:t>
      </w:r>
    </w:p>
    <w:p>
      <w:r>
        <w:rPr>
          <w:b/>
        </w:rPr>
        <w:t>E. 2</w:t>
      </w:r>
    </w:p>
    <w:p>
      <w:r>
        <w:t>Les frais judiciaires, arrêtés à 500 fr., sont mis à la charge du recourant.</w:t>
      </w:r>
    </w:p>
    <w:p>
      <w:r>
        <w:rPr>
          <w:b/>
        </w:rPr>
        <w:t>E. 3</w:t>
      </w:r>
    </w:p>
    <w:p>
      <w:r>
        <w:t>La présente ordonnance est communiquée au recourant, à l'intimé, à la Commission du Barreau et à la Cour de justice de la République et canton de Genève, ainsi qu'à l'Office fédéral de la justice OFJ. Lausanne, le 2 mai 2023 Au nom de la IIe Cour de droit public du Tribunal fédéral suisse Le Juge unique : Y. Donzallaz Le Greffier : A. Wiedler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