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155/2021 vom 14. Dezember 2021</w:t>
      </w:r>
    </w:p>
    <w:p>
      <w:r>
        <w:t>Bundesgericht, 2021-12-14, IT</w:t>
      </w:r>
    </w:p>
    <w:p>
      <w:r>
        <w:rPr>
          <w:b/>
        </w:rPr>
        <w:t xml:space="preserve">Quelle: </w:t>
      </w:r>
      <w:r>
        <w:t>https://mcp.opencaselaw.ch/entscheid/bger_2C_155_2021</w:t>
      </w:r>
    </w:p>
    <w:p>
      <w:r>
        <w:t>FR: TF 2C 155/2021 du 14 décembre 2021</w:t>
      </w:r>
    </w:p>
    <w:p>
      <w:r>
        <w:t>IT: TF 2C 155/2021 del 14 dicembre 2021</w:t>
      </w:r>
    </w:p>
    <w:p>
      <w:pPr>
        <w:pStyle w:val="Heading2"/>
      </w:pPr>
      <w:r>
        <w:t>Regeste</w:t>
      </w:r>
    </w:p>
    <w:p>
      <w:r>
        <w:t>Appalti pubblici | Diritto fondamentale</w:t>
      </w:r>
    </w:p>
    <w:p>
      <w:pPr>
        <w:pStyle w:val="Heading2"/>
      </w:pPr>
      <w:r>
        <w:t>Erwägungen</w:t>
      </w:r>
    </w:p>
    <w:p>
      <w:r>
        <w:rPr>
          <w:b/>
        </w:rPr>
        <w:t>E. 5.1</w:t>
      </w:r>
    </w:p>
    <w:p>
      <w:r>
        <w:t>Le ricorrenti ravvisano una violazione del principio della buona fede (artt. 5 e 9 Cost.) nel fatto che la Corte cantonale avrebbe tutelato un comportamento contraddittorio dell'esecutivo comunale. Quest'ultimo, a loro avviso, pur affermando di non aver mai autorizzato il subappalto oggetto della presente sanzione, ne sarebbe stato in realtà perfettamente informato attraverso i suoi funzionari presenti sul cantiere ed avrebbe tacitamente accettato senza obiezioni le attività delle tre ditte del gruppo F.________ per un periodo prolungato, creando così l'aspettativa legittima nelle ricorrenti che il subappalto fosse stato implicitamente avallato anche dal committente. Per di più, sostengono che il Tribunale cantonale amministrativo sarebbe incorso in arbitrio ammettendo che il subappalto del subappalto (ovvero la sostituzione di un subappaltatore), benché al momento della sua conclusione non fosse ancora vietato dalla legge, era possibile solo all'imprescindibile condizione di venir preventivamente notificato e autorizzato in forma scritta dal committente. A loro dire, l'esigenza di un'autorizzazione scritta non sarebbe in effetti imposta né dalla legge né dalle clausole contrattuali.</w:t>
      </w:r>
    </w:p>
    <w:p>
      <w:r>
        <w:rPr>
          <w:b/>
        </w:rPr>
        <w:t>E. 5.2</w:t>
      </w:r>
    </w:p>
    <w:p>
      <w:r>
        <w:t>Ora, ci si potrebbe invero chiedere se gli artt. 45 lett. b vLCPubb e 51 cpv. 5 del regolamento del 12 settembre 2006 di applicazione della legge sulle commesse pubbliche e del concordato intercantonale sugli appalti pubblici (RLCPubb/CIAP), nella versione in vigore fino al 31 dicembre 2019 (BU 2019, 218) o i patti contrattuali impongano effettivamente la forma scritta per l'autorizzazione da parte del committente alla sostituzione del subappaltatore. L'interrogativo può nondimeno rimanere aperto - anche se ammetterlo, in concreto, non appare comunque arbitrario, stante l'entità dei lavori subappaltati e la complessità dell'opera - poiché decisivo è in realtà l'aspetto della notifica formale della sostituzione, che invece risulta imprescindibile. Essa, infatti, oltre ad essere espressamente richiesta dal contratto d'appalto (punto 12.2.1: "La sostituzione del subappaltatore su iniziativa del deliberatario in corso d'opera deve essere notificata e autorizzata dal Committente.", cfr. supra A.c), è anche implicitamente necessaria affinché il committente possa procedere al controllo del rispetto di tutti i requisiti richiesti dalla legge e dagli atti di gara in capo ai subappaltatori (ad esempio, in relazione alle dichiarazioni comprovanti l'avvenuto pagamento dei contributi di legge: punto 3.5. atti di gara, cfr. supra A.a) ed è evidentemente la deliberataria che deve procedervi, ciò che incontestabilmente non è avvenuto per quanto concerne la sostituzione del subappalto (mentre il subappalto di primo rango era stato regolarmente annunciato dalla deliberataria ed implicitamente autorizzato dal committente con la delibera e con il successivo contratto di appalto: si veda la sentenza qui impugnata, consid. 7.3 pag. 18). Anche su questo punto, quindi, i ricorsi si rivelano infondati e vanno respinti.</w:t>
      </w:r>
    </w:p>
    <w:p>
      <w:r>
        <w:rPr>
          <w:b/>
        </w:rPr>
        <w:t>E. 6</w:t>
      </w:r>
    </w:p>
    <w:p>
      <w:r>
        <w:t>Le ricorrenti contestano altresì l'entità della sanzione pecuniaria inflitta, sostenendo che l'importo di fr. 100'000.-- ciascuna sarebbe lesivo degli artt. 5 cpv. 2 e 36 cpv. 3 Cost. Al riguardo, esse si limitano tuttavia a ribadire il proprio parere, diverso da quello della Corte cantonale, presentando per lo più critiche generiche e di natura appellatoria. Tali argomentazioni non adempiono i requisiti di motivazione posti dagli artt. 42 cpv. 2 e 106 cpv. 2 LTF e non devono essere esaminate oltre in questa sede, tanto più che la decisione impugnata ha già soppesato con attenzione tutti gli elementi oggettivi e soggettivi della fattispecie, ha già considerato i fattori di riduzione invocati dalle ricorrenti stesse (tra cui: il lungo tempo trascorso; il fatto che i responsabili del progetto C.________ del committente non fossero completamente all'oscuro dell'intervento di terzi non autorizzati ma non ne abbiano preteso la regolarizzazione; il fatto che lo svolgimento di una parte dei lavori da parte di I.________ SA non costituisse per finire una violazione dell'art. 45 vLCPubb) e ha conseguentemente annullato la sanzione consistente nell'esclusione da ogni aggiudicazione per 24 mesi, riducendo nel contempo leggermente anche l'importo della sanzione pecuniaria, che resta così abbondantemente al di sotto del massimo fissato dalla legge. La decisione impugnata va quindi confermata anche in merito alla fissazione della sanzione.</w:t>
      </w:r>
    </w:p>
    <w:p>
      <w:r>
        <w:rPr>
          <w:b/>
        </w:rPr>
        <w:t>E. 7</w:t>
      </w:r>
    </w:p>
    <w:p>
      <w:r>
        <w:t>Per finire, essendo manifestamente insufficientemente motivata ( art. 42 cpv. 2 LTF ), sfugge ad un esame di merito anche la censura con la quale le ricorrenti lamentano il fatto che il Tribunale cantonale amministrativo non si sarebbe espresso sull'esigenza di "individuare tutti i reali contravventori" passibili di sanzioni in virtù degli artt. 45 segg. vLCPubb, né sugli effetti delle modifiche della LCPubb intervenute nel frattempo.</w:t>
      </w:r>
    </w:p>
    <w:p>
      <w:r>
        <w:rPr>
          <w:b/>
        </w:rPr>
        <w:t>E. 8.1</w:t>
      </w:r>
    </w:p>
    <w:p>
      <w:r>
        <w:t>Premesse queste considerazioni ne discende che i presenti ricorsi, nella misura in cui sono ammissibili, vanno respinti.</w:t>
      </w:r>
    </w:p>
    <w:p>
      <w:r>
        <w:rPr>
          <w:b/>
        </w:rPr>
        <w:t>E. 8.2</w:t>
      </w:r>
    </w:p>
    <w:p>
      <w:r>
        <w:t>Le spese giudiziarie seguono la soccombenza e sono poste a carico delle ricorrenti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