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2C_152/2018 vom 20. Februar 2019</w:t>
      </w:r>
    </w:p>
    <w:p>
      <w:r>
        <w:t>Bundesgericht, 2019-02-20, DE</w:t>
      </w:r>
    </w:p>
    <w:p>
      <w:r>
        <w:rPr>
          <w:b/>
        </w:rPr>
        <w:t xml:space="preserve">Quelle: </w:t>
      </w:r>
      <w:r>
        <w:t>https://mcp.opencaselaw.ch/entscheid/bger_2C_152_2018</w:t>
      </w:r>
    </w:p>
    <w:p>
      <w:r>
        <w:t>FR: TF 2C_152/2018 du 20 février 2019</w:t>
      </w:r>
    </w:p>
    <w:p>
      <w:r>
        <w:t>IT: TF 2C_152/2018 del 20 febbraio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Art. 73 des Bundesgesetzes vom 14. Dezember 1990 über die Harmonisierung der direkten Steuern der Kantone und Gemeinden [StHG; SR 642.14]).</w:t>
      </w:r>
    </w:p>
    <w:p>
      <w:r>
        <w:rPr>
          <w:b/>
        </w:rPr>
        <w:t>E. 1.2</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t>In Bezug auf die Verletzung von Grundrechten und weiteren verfassungsmässigen Rechten sowie von kantonalem und interkantonalem Recht gilt eine qualifizierte Rüge- und Substanziierungspflicht, das heisst in der Beschwerde ist klar und detailliert anhand der Erwägungen des angefochtenen Entscheids darzulegen, inwiefern die angerufenen Rechte verletzt sein sollen ( Art. 106 Abs. 2 BGG ; BGE 142 II 369 E. 2.1 S. 372 ; 139 I 229 E. 2.2 S. 232; 136 II 304 E. 2.5 S. 314; Urteil 2C_138/2014 vom 12. Dezember 2014 E. 1.3.3).</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sprich eine im Sinne von Art. 9 BV willkürliche Sachverhaltsfeststellung vorliegt und die Behebung des Mangels für den Verfahrensausgang entscheidend sein kann ( Art. 97 Abs. 1 BGG ; BGE 142 I 135 E. 1.6 S. 144 f.; 140 III 264 E. 2.3 S. 265 f.). Eine entsprechende Rüge ist substanziiert vorzubringen; auf rein appellatorische Kritik an der Sachverhaltsfeststellung bzw. Beweiswürdigung geht das Gericht nicht ein ( BGE 140 III 264 E. 2.3 S. 265 f.; 139 II 404 E. 10.1 S. 444 f.).</w:t>
      </w:r>
    </w:p>
    <w:p>
      <w:r>
        <w:rPr>
          <w:b/>
        </w:rPr>
        <w:t>E. 2.1</w:t>
      </w:r>
    </w:p>
    <w:p>
      <w:r>
        <w:t>Ob ein beherrschender Einfluss vorliegt, ist nicht eine Frage der richtigen Anwendung von Bundesrecht bzw. willkürfreien Anwendung von kantonalem Recht, sondern eine Sachverhaltsfrage. Entscheidend ist, ob der Inhaber oder die Inhaberin einer Minderheitsbeteiligung auf andere Weise als durch seine bzw. ihre Beteiligungshöhe oder Stimmenanzahl faktisch einen massgeblichen Einfluss auf die Unternehmensentscheidungen nehmen kann (Urteile 2C_450/2013 vom 5. Dezember 2013 E. 3.4; 2C_952/2010 vom 29. März 2011 E. 2.2).</w:t>
      </w:r>
    </w:p>
    <w:p>
      <w:r>
        <w:rPr>
          <w:b/>
        </w:rPr>
        <w:t>E. 2.2</w:t>
      </w:r>
    </w:p>
    <w:p>
      <w:r>
        <w:t>Die Vorinstanz ist beweiswürdigend zum Schluss gekommen, dass trotz Gütertrennung der Ehegatten C.________, separater Aktienzertifikate, getrennter Aufführung der Aktionäre im Aktienbuch und weiterer Umstände von einer Ausübung der Beteiligungsrechte im gemeinschaftlichen Interesse auszugehen ist und demzufolge ein beherrschender Einfluss beider Ehegatten vorliegt. Eine Sachverhaltsrüge bedingt, dass die Beschwerdeführer im Detail darlegen, inwiefern die vorinstanzliche Sachverhaltsfeststellung offensichtlich unrichtig, sprich willkürlich ist ( BGE 140 III 264 E. 2.3 S. 265 f.; 139 II 404 E. 10.1 S. 444 f.; Urteile 2C_634/2018 vom 5. Februar 2019 E. 2; 2C_643/2017 vom 15. Januar 2019 E. 6.1). Eine entsprechende Sachverhaltsrüge liegt nicht vor. Vielmehr erschöpft sich die Beschwerde im Wesentlichen in der Wiederholung der bereits vor der Vorinstanz vorgebrachten Indizien, ohne dass geltend gemacht oder aufgezeigt wird, dass und weshalb die vorinstanzliche Sachverhaltsfeststellung willkürlich ist. Vorliegend ist deshalb von der vorinstanzlichen Sachverhaltsfeststellung auszugehen, wonach die Ehegatten C.________ faktisch einen beherrschenden Einfluss auf die beiden Gesellschaften D.________ AG und E.________ Holding AG ausüben.</w:t>
      </w:r>
    </w:p>
    <w:p>
      <w:r>
        <w:rPr>
          <w:b/>
        </w:rPr>
        <w:t>E. 3</w:t>
      </w:r>
    </w:p>
    <w:p>
      <w:r>
        <w:t>Eine Rüge, wonach Bundesrecht, interkantonales oder kantonales Recht verletzt wäre, enthält die Beschwerde nicht. Demzufolge bleibt es bei der vorinstanzlichen Anwendung von Randziffer 62 Abs. 3 des genannten Kreisschreibens Nr. 28 im Rahmen des kantonalen Steuerrechts (des Kantons Schwyz), wonach bei beiden Ehegatten bzw. Beschwerdeführern der Pauschalabzug von 30 % nicht gewährt wird.</w:t>
      </w:r>
    </w:p>
    <w:p>
      <w:r>
        <w:rPr>
          <w:b/>
        </w:rPr>
        <w:t>E. 4</w:t>
      </w:r>
    </w:p>
    <w:p>
      <w:r>
        <w:t>Mangels substanziierter Rügen bzw. da die Beschwerde offensichtlich keine hinreichende Begründung enthält, ist darauf mit Entscheid des vom Abteilungspräsidenten mit der Instruktion betrauten Richters als Einzelrichter nicht einzutreten ( Art. 108 Abs. 1 lit. b BGG ).</w:t>
      </w:r>
    </w:p>
    <w:p>
      <w:r>
        <w:t>Die Gerichtskosten sind den Beschwerdeführern infolge Unterliegens unter solidarischer Haftung aufzuerlegen (Art. 65 und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