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2C_14/2017 vom 18. Dezember 2017</w:t>
      </w:r>
    </w:p>
    <w:p>
      <w:r>
        <w:t>Bundesgericht, 2017-12-18, DE</w:t>
      </w:r>
    </w:p>
    <w:p>
      <w:r>
        <w:rPr>
          <w:b/>
        </w:rPr>
        <w:t xml:space="preserve">Quelle: </w:t>
      </w:r>
      <w:r>
        <w:t>https://mcp.opencaselaw.ch/entscheid/bger_2C_14_2017</w:t>
      </w:r>
    </w:p>
    <w:p>
      <w:r>
        <w:t>FR: TF 2C_14/2017 du 18 décembre 2017</w:t>
      </w:r>
    </w:p>
    <w:p>
      <w:r>
        <w:t>IT: TF 2C_14/2017 del 18 dicembre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als anerkannter Flüchtling einen Anspruch auf Verlängerung seiner Aufenthaltsbewilligung zu haben. Die Beschwerde ist zulässig und der Beschwerdeführer dazu legitimiert ( Art. 89 Abs. 1 BGG ). Auf die Beschwerde ist, vorbehältlich der Erfüllung der Rüge- und Begründungspflicht,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2</w:t>
      </w:r>
    </w:p>
    <w:p>
      <w:r>
        <w:t>Der Beschwerdeführer rügt, die Nichtverlängerung seiner Aufenthaltsbewilligung und seine Wegweisung seien unverhältnismässig und würden dem Grundsatz der Verhältnismässigkeit ( Art. 5 Abs. 2 BV ) widersprechen. Die begangenen Delikte seien zwar nicht zu verharmlosen, würden jedoch in Zusammenhang mit seinem Marihuanakonsum stehen, den er mittlerweile beendet habe. Eine Rückkehr in seinen Heimatstaat sei unzumutbar, weil er sich nur etwa neun Jahre in der Türkei aufgehalten und den Rest seines Lebens in der Schweiz und in Deutschland verbracht habe. Die politische Lage dort sei sehr angespannt, und kürzlich sei ein Verwandter auf brutale Art und Weise ermordet worden.</w:t>
      </w:r>
    </w:p>
    <w:p>
      <w:r>
        <w:rPr>
          <w:b/>
        </w:rPr>
        <w:t>E. 2.1</w:t>
      </w:r>
    </w:p>
    <w:p>
      <w:r>
        <w:t>Die Rechtsstellung von Flüchtlingen in der Schweiz wird durch das Abkommen vom 28. Juli 1951 über die Rechtsstellung der Flüchtlinge (Flüchtlingskonvention; SR 0.142.30) und das AsylG geregelt (Art. 12 ff. Flüchtlingskonvention; Art. 1 lit. a AsylG ; BGE 139 II 65 E. 4.1 S. 68). Die Flüchtlingseigenschaft kann einer Person originär oder von der Rechtsstellung einer anderen Person abgeleitet zukommen (HRUSCHKA, Kommentar zum Migrationsrecht, 5. Aufl. 2015, N. 2 zu Art. 51 AsylG ). Der Beschwerdeführer erfüllt selbst die Voraussetzungen, um als Flüchtling anerkannt zu werden, nicht; ihm wurde jedoch aufgrund des damaligen, inzwischen aufgehobenen Art. 51 Abs. 2 AsylG , Familienasyl erteilt.</w:t>
      </w:r>
    </w:p>
    <w:p>
      <w:r>
        <w:rPr>
          <w:b/>
        </w:rPr>
        <w:t>E. 2.2</w:t>
      </w:r>
    </w:p>
    <w:p>
      <w:r>
        <w:t>Das kantonale Migrationsamt hat dem Beschwerdeführer mit Verfügung vom 6. Oktober 2014 die Verlängerung seiner Bewilligung verweigert. Gemäss der in zeitlicher Hinsicht anwendbaren Bestimmung (vgl. zu den intertemporalen Grundsätzen Urteil 2C_195/2016 vom 26. September 2016 E. 2.2.2, mit zahlreichen Hinweisen) von Art. 65 AsylG (in Kraft getreten am 1. Februar 2014; AS 2013 4375, 5357) richtet sich die Weg- oder Ausweisung von Flüchtlingen, vorbehältlich von Art. 5 AsylG , nach Art. 64 AsylG in Verbindung mit Art. 63 Abs. 1 lit. b AuG und Art. 68 AuG. Anwendung findet jedoch weiterhin auch Art. 32 der Flüchtlingskonvention (HRUSCHKA, a.a.O., N. 1 zu Art. 65 AsylG ), gelten doch gemäss Art. 59 AsylG sämtliche Personen, denen die Schweiz Asyl gewährt hat (oben, E. 2.1), als Flüchtlinge im Sinne der Flüchtlingskonvention. Ein Flüchtling, der sich rechtmässig in der Schweiz aufhält, darf nur aus Gründen der Staatssicherheit oder der öffentlichen Ordnung ausgewiesen werden (Art. 32 Flüchtlingskonvention); insofern wird die Möglichkeit der Ausweisung flüchtlings- bzw. asylrechtlich beschränkt ( BGE 135 II 110 E. 2.2.1 S. 113; Urteile 2A.51/2006 vom 8. Mai 2006 E. 2.2; 2A.313/2005 vom 25. August 2005 E. 2.2 mit zahlreichen Hinweisen). Art. 63 Abs. 1 lit. b AuG und Art. 68 AuG sind somit völkerrechtskonform (in Übereinstimmung mit Art. 32 Flüchtlingskonvention) auszulegen, womit weiterhin nur anerkannte Flüchtlinge aus der Schweiz aus- oder weggewiesen werden können, die die innere oder äussere Sicherheit der Schweiz oder die öffentliche Ordnung</w:t>
      </w:r>
    </w:p>
    <w:p>
      <w:r>
        <w:t>schwerwiegend gefährden (zur alten Rechtslage inhaltlich gleich lautend BGE 139 II 65 E. 5.1 S. 72, E. 6.2 S. 75; 135 II 110 E. 2.2.1 S. 113).</w:t>
      </w:r>
    </w:p>
    <w:p>
      <w:r>
        <w:rPr>
          <w:b/>
        </w:rPr>
        <w:t>E. 2.3</w:t>
      </w:r>
    </w:p>
    <w:p>
      <w:r>
        <w:t>Vorab festzuhalten ist, dass das kantonale Migrationsamt die Nichtverlängerung der Aufenthaltsbewilligung von A.________ sowie den Widerruf des ihm gewährten Asyls und die Ansetzung einer Ausreisefrist ohne Koordination mit dem SEM verfügt hat. Ein kantonales Migrationsamt ist zwar für den Entscheid über die Nichtverlängerung oder den Widerruf einer ausländerrechtlichen Bewilligung eines Flüchtlings sachlich zuständig und kann dessen Wegweisung anordnen und vollziehen, ohne dass vorgängig zwingend das Asyl widerrufen werden müsste ( BGE 139 II 65 E. 4.4 S. 71 in fine). Vor Vollzug der Wegweisung eines Flüchtlings hat das kantonale Migrationsamt jedoch zwingend eine Stellungnahme des SEM zu allfälligen Hinderungsgründen einzuholen, womit den besonderen Bestimmungen über den Schutz von Flüchtlingen auf nationaler und internationaler Ebene - insbesondere dem Gebot des Non-Refoulement - gebührend Rechnung getragen wird ( BGE 139 II 65 E. 4.4 S. 70). Sachlich nicht zuständig sind die kantonalen Behörden für den Widerruf des Asyls als solchem; dazu befugt ist allein die Bundesbehörde. Soweit das angefochtene Urteil den Widerruf des Asyls bestätigt, ist es demnach schon aus Kompetenzgründen bundesrechtswidrig. Aber auch der Widerruf der Aufenthaltsbewilligung und die Wegweisung sind mit Bundesrecht nicht vereinbar, wie sich nachfolgend zeigt.</w:t>
      </w:r>
    </w:p>
    <w:p>
      <w:r>
        <w:rPr>
          <w:b/>
        </w:rPr>
        <w:t>E. 2.4</w:t>
      </w:r>
    </w:p>
    <w:p>
      <w:r>
        <w:t>Die Vorinstanz hat im angefochtenen Urteil gestützt auf Art. 65 AsylG die Voraussetzungen von Art. 63 Abs. 1 lit. b AuG geprüft und erwogen, die einzelnen Verfehlungen des Beschwerdeführers würden zwar jeweils nicht besonders schwer wiegen, angesichts dessen, dass sie allesamt in den letzten fünf Jahren begangen worden seien und auch die körperliche und psychische Integrität betreffen würden, in ihrer Summe die Nichtverlängerung der Aufenthaltsbewilligung des Beschwerdeführers rechtfertigen. Das negative Verhalten des Beschwerdeführers würde sich zudem auch noch in seiner Schuldenwirtschaft widerspiegeln, was die unterlassene Verlängerung zusätzlich rechtfertigen würde. Bei einer Gesamtbetrachtung sei von einem schwerwiegenden Verstoss des Beschwerdeführers gegen die öffentliche Sicherheit und Ordnung im Sinne von Art. 63 Abs. 1 lit. b AuG auszugehen, und würde sich die unterlassene Verlängerung deswegen als verhältnismässig erweisen, weil beim Beschwerdeführer total 21 Betreibungen von über Fr. 70'000.-- und elf Verlustscheine von knapp Fr. 60'000.-- hängig seien, er in der Schweiz schlecht integriert und angesichts seiner langandauernden Sozialhilfeabhängigkeit nicht davon auszugehen sei, dass er in absehbarer Zeit ein Erwerbseinkommen erwirtschaften werde. Eine Rückkehr werde den Beschwerdeführer zwar vor grössere Herausforderungen stellen: sie sei ihm jedoch als jungem und gesundem Mann, der auf dem Arbeitsmarkt vermittelbar sei, nicht zum Vornherein unzumutbar.</w:t>
      </w:r>
    </w:p>
    <w:p>
      <w:r>
        <w:rPr>
          <w:b/>
        </w:rPr>
        <w:t>E. 2.5</w:t>
      </w:r>
    </w:p>
    <w:p>
      <w:r>
        <w:t>Ungeprüft gelassen hat die Vorinstanz jedoch, ob die begangenen Verfehlungen des Beschwerdeführers auch die Schwelle von Art. 32 Flüchtlingskonvention erreichen würden und eine Aus- oder Wegweisung des Beschwerdeführers als anerkanntem Flüchtling auch unter diesem Gesichtspunkt zulässig sei. Dies ist im Sinne der bisherigen bundesgerichtlichen Praxis zu verneinen. Das Bundesgericht ist in früheren Präjudizien davon ausgegangen, dass etwa eine Vergewaltigung, das Verursachen einer Feuersbrunst durch einen Molotov-Cocktail, ein Mordversuch sowie die banden- und gewerbsmässige Begehung von Diebstählen die öffentliche Ordnung im Sinne der asylrechtlichen Vorgaben so schwer verletzen würden, dass die Grundlagen eines gesellschaftlichen Zusammenlebens gefährdet seien ( BGE 139 II 65 E. 5.2 S. 73, mit zahlreichen Hinweisen). Von einer Gefährdung dieser Grundlagen kann bei den begangenen Tätlichkeiten, Nötigungen, Zuwiderhandlungen gegen das BetmG und Delikten gegen das Eigentum und das Vermögen, welche nie die Schwere erreichten, dass dafür eine freiheitsentziehende Strafe auszusprechen gewesen wäre, nicht ausgegangen werden. Die Nichtverlängerung der Aufenthaltsbewilligung des Beschwerdeführers verletzt somit den im Sinne von Art. 32 Flüchtlingskonvention zutreffend ausgelegt und angewendeten Art. 65 AsylG , weshalb die Beschwerde sich als begründet erweist und das angefochtene Urteil antragsgemäss aufzuheben ist.</w:t>
      </w:r>
    </w:p>
    <w:p>
      <w:r>
        <w:rPr>
          <w:b/>
        </w:rPr>
        <w:t>E. 3</w:t>
      </w:r>
    </w:p>
    <w:p>
      <w:r>
        <w:t>Bei diesem Verfahrensausgang sind keine Gerichtskosten zu erheben ( Art. 66 Abs. 4 BGG ). Der Kanton Basel-Landschaft hat dem Beschwerdeführer für das bundesgerichtliche Verfahren eine Parteientschädigung von Fr. 1'500.-- auszurichten ( Art. 68 Abs. 1 BGG ). Die Sache wird zur Neuverlegung der vorinstanzlichen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