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2C_149/2015 vom 28. Mai 2015</w:t>
      </w:r>
    </w:p>
    <w:p>
      <w:r>
        <w:t>Bundesgericht, 2015-05-28, FR</w:t>
      </w:r>
    </w:p>
    <w:p>
      <w:r>
        <w:rPr>
          <w:b/>
        </w:rPr>
        <w:t xml:space="preserve">Quelle: </w:t>
      </w:r>
      <w:r>
        <w:t>https://mcp.opencaselaw.ch/entscheid/bger_2C_149_2015</w:t>
      </w:r>
    </w:p>
    <w:p>
      <w:r>
        <w:t>FR: TF 2C_149/2015 du 28 mai 2015</w:t>
      </w:r>
    </w:p>
    <w:p>
      <w:r>
        <w:t>IT: TF 2C_149/2015 del 28 maggio 2015</w:t>
      </w:r>
    </w:p>
    <w:p>
      <w:pPr>
        <w:pStyle w:val="Heading2"/>
      </w:pPr>
      <w:r>
        <w:t>Erwägungen</w:t>
      </w:r>
    </w:p>
    <w:p>
      <w:r>
        <w:rPr>
          <w:b/>
        </w:rPr>
        <w:t>E. 1</w:t>
      </w:r>
    </w:p>
    <w:p>
      <w:r>
        <w:t>Le litige porte sur la responsabilité de la commune de Y.________ à l'égard des recourants en vertu de la loi neuchâteloise du 26 juin 1989 sur la responsabilité des collectivités publiques et de leurs agents (LResp/NE, RSN 150.10). Il relève donc du droit public et l'arrêt attaqué peut en principe faire l'objet d'un recours en matière de droit public au Tribunal fédéral (cf. art. 82 let. a LTF ). L'arrêt entrepris, qui déboute les demandeurs de leur action en responsabilité, est une décision finale rendue par un tribunal supérieur statuant en dernière instance cantonale (cf. art. 86 al. 1 let . d et al. 2 LTF et art. 90 LTF ). Les recourants sont légitimés à agir sur la base de l' art. 89 al. 1 LTF . Déposé en temps utile (cf. art. 100 al. 1 LTF ) et dans les formes requises (cf. art. 42 LTF ), le recours en matière de droit public est également recevable au regard de l' art. 85 al. 1 let. a LTF , dès lors que la valeur limite de 30'000 fr. exigée dans le domaine de la responsabilité étatique est largement dépassée.</w:t>
      </w:r>
    </w:p>
    <w:p>
      <w:r>
        <w:rPr>
          <w:b/>
        </w:rPr>
        <w:t>E. 2</w:t>
      </w:r>
    </w:p>
    <w:p>
      <w:r>
        <w:t>Sans toutefois faire référence à l' art. 97 al. 1 LTF , les recourants se plaignent de constatation inexacte des faits.</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 l' art. 106 al. 2 LTF (cf. ATF 139 I 72 consid. 9.2.3.6 p. 96 s. et les références citées). La notion de "manifestement inexacte" correspond à celle d'arbitraire au sens de l' art. 9 Cst. ( ATF 137 III 268 consid. 1.2 p. 278 s.; 133 II 249 consid. 1.2.2 p. 252).</w:t>
      </w:r>
    </w:p>
    <w:p>
      <w:r>
        <w:rPr>
          <w:b/>
        </w:rPr>
        <w:t>E. 2.2</w:t>
      </w:r>
    </w:p>
    <w:p>
      <w:r>
        <w:t>En l'occurrence, les recourants expliquent que le Tribunal cantonal a faussement retenu qu'une partie de l'une des deux parcelles en cause avait déjà été reclassée en "zone des abords du bourg". Selon eux, cette erreur peut, dans le futur, conduire à une réduction du montant des prétentions.</w:t>
      </w:r>
    </w:p>
    <w:p>
      <w:r>
        <w:t>Contrairement à ce que semblent penser les recourants, le fait que l'une de leurs parcelles ait ou non été classée en "zone des abords du bourg" n'a aucune incidence sur la présente cause qui ne traite que du caractère illicite de l'omission de la commune de Y.________ de faire inscrire son droit de préemption au registre foncier. Ils le sous-entendent d'ailleurs eux-mêmes en mentionnant que l'incidence n'est que potentielle et future. Par conséquent, leur recours, en tant qu'il porte sur une constatation inexacte des faits pertinents, doit être rejeté.</w:t>
      </w:r>
    </w:p>
    <w:p>
      <w:r>
        <w:rPr>
          <w:b/>
        </w:rPr>
        <w:t>E. 3</w:t>
      </w:r>
    </w:p>
    <w:p>
      <w:r>
        <w:t>Les recourants font ensuite grief au Tribunal cantonal d'avoir arbitrairement appliqué le droit cantonal.</w:t>
      </w:r>
    </w:p>
    <w:p>
      <w:r>
        <w:rPr>
          <w:b/>
        </w:rPr>
        <w:t>E. 3.1</w:t>
      </w:r>
    </w:p>
    <w:p>
      <w:r>
        <w:t>Ils estiment que l'art. 51 al. 2 de la loi neuchâteloise du 2 octobre 1991 sur l'aménagement du territoire (LCAT/NE; RSN 701.0), qui dispose que la commune doit faire mentionner au registre foncier l'inclusion d'un immeuble dans une zone d'utilité publique, a été interprété arbitrairement par le Tribunal cantonal. Selon eux, ce dernier ne pouvait pas faire une interprétation historique de la disposition, alors que l'interprétation littérale était suffisamment claire.</w:t>
      </w:r>
    </w:p>
    <w:p>
      <w:r>
        <w:rPr>
          <w:b/>
        </w:rPr>
        <w:t>E. 3.2</w:t>
      </w:r>
    </w:p>
    <w:p>
      <w:r>
        <w:t>L'examen de l'interprétation d'une loi cantonale par le Tribunal fédéral est limité à l'arbitraire (cf. ATF 138 I 143 consid. 2 p. 149 s.; 134 II 207 consid. 2 p. 209 s.). Tout d'abord, l'autorité précédente a correctement rappelé la jurisprudence relative à la condition de l'illicéité en cas d'omission ( ATF 132 II 305 consid. 4.1 p. 317 s. et les références citées) et porté l'attention des recourants sur le fait que pour qu'une omission constitue un acte illicite, il fallait qu'une norme juridique sanctionnant explicitement l'omission commise ou imposant à l'Etat de prendre la mesure omise en faveur du lésé ait existé. A juste titre, le Tribunal cantonal a en outre relevé que lorsque le fait dommageable constitue une atteinte patrimoniale, comme c'est le cas en l'espèce, l'illicéité suppose qu'il existe un "rapport d'illicéité", soit que l'auteur ait violé une norme de comportement ayant pour but de protéger le bien juridique en cause.</w:t>
      </w:r>
    </w:p>
    <w:p>
      <w:r>
        <w:t>Fort de ces considérations théoriques, c'est sans arbitraire que le Tribunal cantonal a jugé, sur la base des travaux préparatoires relatifs à l'ancien art. 51 al. 2 LCAT/NE, que cette disposition avait toujours pour but premier de permettre aux communes d'être informées du transfert de propriété d'une parcelle située en zone d'utilité publique et de leur garantir l'exercice de leur droit de préemption légal. Les explications de l'autorité précédente relatives à l'esprit de la loi demeuré inchangé, malgré une modification de sa lettre passant d'une formulation potestative à une formulation impérative, sont pleinement soutenables. Par conséquent, c'est également sans arbitraire que, faisant application de la jurisprudence précitée, l'autorité précédente a jugé que la norme de droit cantonal obligeant les communes à faire inscrire au registre foncier leurs droits de préemption n'avait pas pour objectif prioritaire de protéger des acheteurs potentiels contre l'éventuelle survenance d'un préjudice patrimonial (relation d'illicéité), mais qu'il s'agissait-là tout au plus d'un effet indirect insuffisant en l'espèce. Ainsi, en concluant que la commune n'avait pas de position de garant envers les recourants dans cette affaire, et qu'il ne pouvait par conséquent être question d'un acte illicite de la part de la commune, le Tribunal cantonal n'est pas tombé dans l'arbitraire. Le recours doit ainsi être entièrement rejeté.</w:t>
      </w:r>
    </w:p>
    <w:p>
      <w:r>
        <w:rPr>
          <w:b/>
        </w:rPr>
        <w:t>E. 4</w:t>
      </w:r>
    </w:p>
    <w:p>
      <w:r>
        <w:t>Succombant, les recourants supportent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