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2C_148/2015 vom 21. August 2015</w:t>
      </w:r>
    </w:p>
    <w:p>
      <w:r>
        <w:t>Bundesgericht, 2015-08-21, FR</w:t>
      </w:r>
    </w:p>
    <w:p>
      <w:r>
        <w:rPr>
          <w:b/>
        </w:rPr>
        <w:t xml:space="preserve">Quelle: </w:t>
      </w:r>
      <w:r>
        <w:t>https://mcp.opencaselaw.ch/entscheid/bger_2C_148_2015</w:t>
      </w:r>
    </w:p>
    <w:p>
      <w:r>
        <w:t>FR: TF 2C_148/2015 du 21 août 2015</w:t>
      </w:r>
    </w:p>
    <w:p>
      <w:r>
        <w:t>IT: TF 2C_148/2015 del 21 agosto 2015</w:t>
      </w:r>
    </w:p>
    <w:p>
      <w:pPr>
        <w:pStyle w:val="Heading2"/>
      </w:pPr>
      <w:r>
        <w:t>Erwägungen</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w:t>
      </w:r>
    </w:p>
    <w:p>
      <w:r>
        <w:t>Pour le surplus, l'arrêt attaqué est une décision finale ( art. 90 LTF ), rendue en dernière instance cantonale par un tribunal supérieur ( art. 86 al. 1 let . d et al. 2 LTF). Déposé en temps utile ( art. 100 al. 1 LTF ) et dans les formes prescrites ( art. 42 LTF ) par le destinataire de l'arrêt attaqué qui a qualité pour recourir au sens de l' art. 89 al. 1 LTF , le recours en matière de droit public est par conséquent recevable, sous réserve de ce qui suit.</w:t>
      </w:r>
    </w:p>
    <w:p>
      <w:r>
        <w:rPr>
          <w:b/>
        </w:rPr>
        <w:t>E. 1.2</w:t>
      </w:r>
    </w:p>
    <w:p>
      <w:r>
        <w:t>Les conclusions du recours tendant à l'annulation des décisions du Service cantonal et du Département cantonal sont irrecevables en raison de l'effet dévolutif complet du recours auprès du Tribunal cantonal ( ATF 136 II 539 consid. 1.2 p. 543; 136 II 101 consid. 1.2 p. 104).</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s.)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(art. 42 al. 2 et 106 al. 2 LTF). A défaut d'une telle motivation, il n'est pas possible de prendre en considération un état de fait qui diverge de celui contenu dans la décision attaquée ( ATF 136 I 184 consid. 1.2 p. 187).</w:t>
      </w:r>
    </w:p>
    <w:p>
      <w:r>
        <w:rPr>
          <w:b/>
        </w:rPr>
        <w:t>E. 2.2</w:t>
      </w:r>
    </w:p>
    <w:p>
      <w:r>
        <w:t>Le recourant présente une argumentation appellatoire en contestant la possibilité d'une prise en charge médicale de ses troubles psychiques en Bosnie et Herzégovine. L'intéressé se limite en effet à affirmer qu'un traitement desdits troubles dans son pays d'origine serait impossible, en opposant ainsi sa propre appréciation des faits à celle du Tribunal cantonal, sans cependant invoquer ni l'arbitraire, ni une constatation manifestement inexacte des faits. Partant, le Tribunal fédéral ne peut pas en tenir compte. Il statuera donc sur la base des faits tels qu'ils ressortent de l'arrêt attaqué. En particulier, la Cour de céans retiendra, à l'instar des juges précédents, qu'une prise en charge médicale de l'intéressé en Bosnie et Herzégovine est possible.</w:t>
      </w:r>
    </w:p>
    <w:p>
      <w:r>
        <w:rPr>
          <w:b/>
        </w:rPr>
        <w:t>E. 3</w:t>
      </w:r>
    </w:p>
    <w:p>
      <w:r>
        <w:t>Le recourant reproche aussi à l'autorité précédente de n'avoir pas suffisamment instruit la cause, en violation de la maxime inquisitoire. Il relève que, à la suite de l'arrêt du Tribunal fédéral du 20 novembre 2013 et du renvoi de la cause au Tribunal cantonal, celui-ci n'a accompli "aucun acte d'instruction complémentaire". Selon le recourant, les juges cantonaux auraient dû en particulier ordonner une expertise médicale sur sa personne et procéder à l'audition de sa femme, de son ex-femme et de son employeur.</w:t>
      </w:r>
    </w:p>
    <w:p>
      <w:r>
        <w:rPr>
          <w:b/>
        </w:rPr>
        <w:t>E. 3.1</w:t>
      </w:r>
    </w:p>
    <w:p>
      <w:r>
        <w:t>Selon la maxime inquisitoire, qui prévaut en particulier en droit public, l'autorité définit les faits pertinents et ne tient pour existants que ceux qui sont dûment prouvés; celle-ci oblige notamment les autorités compétentes à prendre en considération d'office l'ensemble des pièces pertinentes qui ont été versées au dossier. Elle ne dispense pas pour autant les parties de collaborer à l'établissement des faits ( ATF 128 II 139 consid. 2b p. 142; arrêt 2C_32/2015 du 28 mai 2015 consid. 3.1); il leur incombe d'étayer leurs propres thèses, de renseigner le juge sur les faits de la cause et de lui indiquer les moyens de preuves disponibles, spécialement lorsqu'il s'agit d'élucider des faits qu'elles sont le mieux à même de connaître (cf. arrêts 2C_842/2014 du 17 février 2015 consid. 6.2 et 1C_323/2014 du 10 octobre 2014 consid. 8). L'autorité peut mettre un terme à l'instruction lorsque les preuves administrées lui ont permis de former sa conviction ( ATF 130 II 425 consid. 2.1 p. 429 et les arrêts cités).</w:t>
      </w:r>
    </w:p>
    <w:p>
      <w:r>
        <w:rPr>
          <w:b/>
        </w:rPr>
        <w:t>E. 3.2</w:t>
      </w:r>
    </w:p>
    <w:p>
      <w:r>
        <w:t>Dans le cas particulier, le recourant ne prétend pas que l'autorité précédente aurait refusé de donner suite à des offres de preuves. En particulier, l'intéressé ne soutient pas qu'il aurait demandé au Tribunal cantonal de procéder à des auditions ou à une expertise médicale sur sa personne. Concernant ce dernier point, peu importe le fait que le recourant ait sollicité ladite expertise lors de la procédure devant le Département ou dans le cadre de son (premier) recours au Tribunal fédéral. Si, suite au renvoi de la cause au Tribunal cantonal, l'intéressé estimait indispensable de solliciter des mesures d'instructions supplémentaires devant cette autorité, il lui appartenait de ne pas rester inactif. N'ayant entrepris aucune démarche en ce sens, il ne peut pas faire valoir après coup une violation de la maxime inquisitoire, alors que, à la lecture de l'arrêt attaqué, on constate que l'instance précédente disposait de suffisamment d'éléments figurant au dossier pour forger sa conviction. Le grief est infondé et doit être rejeté.</w:t>
      </w:r>
    </w:p>
    <w:p>
      <w:r>
        <w:rPr>
          <w:b/>
        </w:rPr>
        <w:t>E. 4</w:t>
      </w:r>
    </w:p>
    <w:p>
      <w:r>
        <w:t>Le recourant conteste ensuite l'appréciation des juges cantonaux, selon laquelle il aurait tu le fait que son premier mariage était déjà vidé de sa substance dès l'automne 2009, en dissimulant ainsi des faits essentiels pour la procédure. D'après l'intéressé, la désunion du couple aurait son origine dans la découverte, en janvier 2010, de la relation extraconjugale menée par son épouse de l'époque, de sorte que le Tribunal cantonal ne pouvait pas, sans tomber dans l'arbitraire, lui reprocher d'avoir caché des faits importants lors de la procédure d'octroi de son permis d'établissement.</w:t>
      </w:r>
    </w:p>
    <w:p>
      <w:r>
        <w:rPr>
          <w:b/>
        </w:rPr>
        <w:t>E. 4.1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4.2</w:t>
      </w:r>
    </w:p>
    <w:p>
      <w:r>
        <w:t>En l'espèce, il ressort des faits constatés dans l'arrêt attaqué que l'intéressé a appris en automne 2009 que son épouse était enceinte d'un tiers et qu'à partir de ce moment les époux ont eu la volonté de se séparer. En outre, il n'est pas contesté qu'en 2007 déjà, dans le cadre d'une relation extraconjugale, le recourant a conçu un enfant avec une ressortissante de Bosnie et Herzégovine, et qu'après son divorce, il a rapidement épousé cette dernière.</w:t>
      </w:r>
    </w:p>
    <w:p>
      <w:r>
        <w:t>Dans ces circonstances, c'est sans arbitraire que le Tribunal cantonal a constaté que l'union conjugale entre l'intéressé et sa première femme n'était plus effectivement vécue dès l'automne 2009.</w:t>
      </w:r>
    </w:p>
    <w:p>
      <w:r>
        <w:rPr>
          <w:b/>
        </w:rPr>
        <w:t>E. 5.1</w:t>
      </w:r>
    </w:p>
    <w:p>
      <w:r>
        <w:t>D'après l'art. 51 al. 2 let. a et b LEtr (RS 142.20), les droits prévus à l'art. 43 LEtr s'éteignent s'ils sont invoqués abusivement, notamment pour éluder les dispositions de la LEtr, ou s'il existe des motifs de révocation au sens de l'art. 62 LEtr. Lorsque l'étranger bénéficie d'une autorisation d'établissement, seules les lettres a et b de l'art. 62 sont applicables (art. 63 al. 1 let. a LEtr). Selon ces dispositions, l'autorisation d'établissement peut être révoquée en particulier si l'étranger ou son représentant légal a fait de fausses déclarations ou a dissimulé des faits essentiels durant la procédure d'autorisation (art. 62 let. a LEtr). A cet égard, sont importants non seulement les faits sur lesquels l'autorité a expressément demandé des précisions, mais également ceux dont le recourant devait savoir qu'ils étaient déterminants pour l'octroi du permis. Le silence ou l'information erronée doivent avoir été utilisés de manière intentionnelle, à savoir dans l'optique d'obtenir l'autorisation de séjour ou d'établissement (arrêts 2C_299/2012 du 6 août 2012 consid. 4.1 et 2C_602/2011 du 27 décembre 2011 consid. 3). L'étranger est tenu d'informer l'autorité de manière complète et conforme à la vérité sur tous les faits déterminants pour l'octroi de l'autorisation; il doit en particulier indiquer si la communauté conjugale sur laquelle son droit de séjour repose n'est plus effectivement vécue (arrêt 2C_15/2011 du 31 mai 2011 consid. 4.2.1). De jurisprudence constante, la dissimulation d'un conjoint ou d'un enfant se trouvant à l'étranger est qualifiée de dissimulation d'un fait essentiel au sens de l'art. 62 let. a en relation avec l'art. 63 al. 1 let. a LEtr lorsque l'autorisation requise dépend du droit pour l'étranger de demeurer auprès du conjoint résidant en Suisse (cf. arrêts 2C_1036/2012 du 20 mars 2013 consid. 3.1 et 2C_299/2012 du 6 août 2012 consid. 4.1 et les arrêts cités).</w:t>
      </w:r>
    </w:p>
    <w:p>
      <w:r>
        <w:rPr>
          <w:b/>
        </w:rPr>
        <w:t>E. 5.2</w:t>
      </w:r>
    </w:p>
    <w:p>
      <w:r>
        <w:t>Il convient d'examiner si, au moment de l'octroi de l'autorisation d'établissement, soit le 13 janvier 2010, l'union conjugale du recourant et de sa première épouse était réelle ou si cette communauté conjugale était déjà vidée de sa substance et que l'intéressé avait alors caché cet élément, ainsi que la naissance de son fils à l'étranger, aux autorités, ce qui lui avait permis d'obtenir ladite autorisation.</w:t>
      </w:r>
    </w:p>
    <w:p>
      <w:r>
        <w:t>En l'espèce, le Tribunal cantonal a constaté, sans arbitraire, que l'union conjugale entre l'intéressé et sa première femme n'était plus effectivement vécue dès l'automne 2009 (cf. supra consid. 4.2). En outre, alors que cette union est restée sans enfant, le recourant a eu un fils, né en 2008 d'une relation extraconjugale avec la femme qu'il a par la suite épousée, et il n'a pas mentionné cette paternité lors de la procédure ayant abouti à l'octroi de son permis d'établissement. De plus, la demande en divorce a été présentée le 16 février 2010, c'est-à-dire environ un mois après l'obtention de l'autorisation d'établissement et le divorce prononcé le 11 mars 2010, soit deux mois après l'octroi de ladite autorisation.</w:t>
      </w:r>
    </w:p>
    <w:p>
      <w:r>
        <w:t>Au regard de l'ensemble de ces circonstances, c'est à juste titre que le Tribunal cantonal a estimé que l'intéressé avait dissimulé aux autorités compétentes des éléments essentiels pour statuer sur ladite autorisation au sens de l'art. 62 let. a LEtr (cf. arrêts 2C_299/2012 du 6 août 2012 consid. 4.2 et 2C_478/2010 du 17 novembre 2010 consid. 3, non publié in ATF 137 II 10 ). Les juges cantonaux n'ont donc pas violé le droit fédéral en considérant que le cas du recourant entrait dans le champ d'application de l'art. 62 let. a LEtr, par renvoi de l'art. 63 al. 1 let. a LEtr.</w:t>
      </w:r>
    </w:p>
    <w:p>
      <w:r>
        <w:rPr>
          <w:b/>
        </w:rPr>
        <w:t>E. 5.3</w:t>
      </w:r>
    </w:p>
    <w:p>
      <w:r>
        <w:t>Cela étant, comme l'indique à juste titre le recourant, le refus de l'autorisation ou la révocation de celle-ci ne se justifie que si la pesée des intérêts à effectuer dans le cas d'espèce fait apparaître la mesure comme proportionnée aux circonstances (cf. art. 96 al. 1 LEtr; ATF 135 II 377 consid. 4.3 p. 381). Dans le cadre de cette pesée d'intérêts, il faut notamment prendre en considération la durée du séjour en Suisse, l'âge de l'arrivée dans ce pays, les relations sociales, familiales et professionnelles, le niveau d'intégration et les conséquences d'un renvoi de l'intéressé (arrêts 2C_682/2012 du 7 février 2013 consid. 5.1 et 2C_401/2012 du 18 septembre 2012 consid. 4.1).</w:t>
      </w:r>
    </w:p>
    <w:p>
      <w:r>
        <w:t>En l'espèce, la durée du séjour du recourant en Suisse, qui est approximativement de dix ans, est assez longue. Arrivé en Suisse à l'âge de vingt-trois ans, l'intéressé a toutefois passé son enfance, son adolescence et les premières années de sa vie d'adulte dans son pays d'origine, où il a ses attaches culturelles. Le recourant est certes bien intégré professionnellement dans le canton de Neuchâtel, mais il ne fait pas état d'une qualification professionnelle particulière. Il pourra du reste faire valoir son expérience de travail en Bosnie et Herzégovine. En outre, il n'a pas démontré avoir développé des liens particulièrement étroits avec le tissu social de son lieu de domicile excluant un retour dans son pays d'origine. Quant à ses liens familiaux, l'intéressé ne prétend pas qu'il aurait de la famille en Suisse, alors que sa femme et ses deux enfants vivent en Bosnie et Herzégovine. De plus, concernant la réintégration du recourant dans son pays d'origine, elle ne devrait pas entraîner de difficultés insurmontables. En particulier, il est établi qu'une prise en charge médicale de l'intéressé dans ce pays est possible (cf. supra consid. 2.2). Enfin, il y a lieu de relever que l' ATF 124 II 110 invoqué par le recourant ne saurait lui être d'aucun secours, étant donné qu'il concerne une question notablement différente, c'est-à-dire l'octroi à un requérant d'asile d'une exception aux mesures de limitation du nombre des étrangers prévues dans une ancienne ordonnance fédérale.</w:t>
      </w:r>
    </w:p>
    <w:p>
      <w:r>
        <w:t>En conclusion, le Tribunal cantonal n'a pas violé le principe de la proportionnalité en confirmant la révocation de l'autorisation d'établissement du recourant.</w:t>
      </w:r>
    </w:p>
    <w:p>
      <w:r>
        <w:rPr>
          <w:b/>
        </w:rPr>
        <w:t>E. 6.1</w:t>
      </w:r>
    </w:p>
    <w:p>
      <w:r>
        <w:t>En cas de révocation de l'autorisation d'établissement selon l'art. 63 LEtr, l'autorisation de séjour antérieure ne renaît pas automatiquement. Au contraire, la révocation d'un permis d'établissement a en principe pour corollaire de priver l'intéressé de la possibilité de revendiquer utilement tout autre type d'autorisation en matière de droit des étrangers lorsque les motifs sous-tendant cette révocation sont propres à s'appliquer tant aux autorisations d'établissement que de séjour (arrêts 2C_634/2011 du 27 juin 2012 consid. 4.3 et 2C_797/2011 du 12 juin 2012 consid. 2.3). La jurisprudence a nuancé cette approche s'agissant du motif de révocation prévu par l'art. 62 let. a LEtr (par renvoi de l'art. 63 al. 1 let. a, première hypothèse, LEtr), qui concerne les fausses déclarations ou la dissimulation de faits dont se serait rendu responsable l'étranger concerné. En effet, l'octroi d'une autorisation d'établissement n'implique pas forcément pour le requérant l'obligation de fournir les mêmes informations qu'en cas d'octroi d'une autorisation de séjour, car les deux procédures suivent chacune une logique propre (cf. arrêts 2C_748/2014 du 12 janvier 2015 consid. 3.1 et 2C_682/2012 du 7 février 2013 consid. 6.1). Il s'ensuit que la révocation d'une autorisation d'établissement selon l'art. 62 let. a cum art. 63 al. 1 let. a LEtr n'empêche pas systématiquement l'étranger concerné de requérir, en étayant son droit, l'obtention d'une nouvelle autorisation de séjour, fondée notamment sur l'art. 50 LEtr (cf. arrêts 2C_748/2014 du 12 janvier 2015 consid. 3.1 et 2C_682/2012 du 7 février 2013 consid. 6.1). Les effets d'une telle révocation doivent toutefois être examinés au cas par cas (arrêt 2C_748/2014 du 12 janvier 2015 consid. 3.1).</w:t>
      </w:r>
    </w:p>
    <w:p>
      <w:r>
        <w:rPr>
          <w:b/>
        </w:rPr>
        <w:t>E. 6.2</w:t>
      </w:r>
    </w:p>
    <w:p>
      <w:r>
        <w:t>En l'occurrence, le recourant n'invoque pas l'art. 50 LEtr et l'arrêt attaqué ne relève pas une violation manifeste de cette disposition qui permettrait à la Cour de céans d'examiner le recours sous cet angle, malgré l'absence de motivation (cf. art. 42 al. 2 LTF ; ATF 140 III 115 consid. 2 p. 116). Partant, le Tribunal fédéral ne peut pas analyser cette question.</w:t>
      </w:r>
    </w:p>
    <w:p>
      <w:r>
        <w:rPr>
          <w:b/>
        </w:rPr>
        <w:t>E. 7</w:t>
      </w:r>
    </w:p>
    <w:p>
      <w:r>
        <w:t>Les considérants qui précèdent conduisent au rejet du recours, dans la mesure où il est recevable.</w:t>
      </w:r>
    </w:p>
    <w:p>
      <w:r>
        <w:t>Succombant, le recourant doit supporter les frais judiciaires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