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148/2014 vom 23. September 2014</w:t>
      </w:r>
    </w:p>
    <w:p>
      <w:r>
        <w:t>Bundesgericht, 2014-09-23, FR</w:t>
      </w:r>
    </w:p>
    <w:p>
      <w:r>
        <w:rPr>
          <w:b/>
        </w:rPr>
        <w:t xml:space="preserve">Quelle: </w:t>
      </w:r>
      <w:r>
        <w:t>https://mcp.opencaselaw.ch/entscheid/bger_2C_148_2014</w:t>
      </w:r>
    </w:p>
    <w:p>
      <w:r>
        <w:t>FR: TF 2C 148/2014 du 23 septembre 2014</w:t>
      </w:r>
    </w:p>
    <w:p>
      <w:r>
        <w:t>IT: TF 2C 148/2014 del 23 settembre 2014</w:t>
      </w:r>
    </w:p>
    <w:p>
      <w:pPr>
        <w:pStyle w:val="Heading2"/>
      </w:pPr>
      <w:r>
        <w:t>Regeste</w:t>
      </w:r>
    </w:p>
    <w:p>
      <w:r>
        <w:t>Impôt cantonal et communal 2010 | Finances publiques &amp; droit fiscal</w:t>
      </w:r>
    </w:p>
    <w:p>
      <w:pPr>
        <w:pStyle w:val="Heading2"/>
      </w:pPr>
      <w:r>
        <w:t>Erwägungen</w:t>
      </w:r>
    </w:p>
    <w:p>
      <w:r>
        <w:rPr>
          <w:b/>
        </w:rPr>
        <w:t>E. 1.1</w:t>
      </w:r>
    </w:p>
    <w:p>
      <w:r>
        <w:t>L'autorité précédente a rendu une seule décision valant pour les deux catégories d'impôts, ce qui est admissible, dès lors que la question juridique à trancher est réglée de la même façon en droit fédéral et dans le droit cantonal harmonisé (cf. ATF 135 II 260 consid. 1.3.1 p. 262 s.). Dans ces circonstances, on ne peut reprocher aux recourants d'avoir, dans leur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(2C_149/2014) et l'autre l'impôt cantonal et communal (2C_148/2014). Comme l'état de fait est identique et que les questions juridiques se recoupent, les deux causes seront néanmoins jointes et il sera statué dans un seul arrêt (cf. art. 71 LTF et 24 PCF [RS 273]).</w:t>
      </w:r>
    </w:p>
    <w:p>
      <w:r>
        <w:rPr>
          <w:b/>
        </w:rPr>
        <w:t>E. 1.2</w:t>
      </w:r>
    </w:p>
    <w:p>
      <w:r>
        <w:t>L'arrêt attaqué concerne le revenu imposable de la période fiscale 2010. Comme ce domaine relève du droit public et qu'aucune des exceptions prévues à l' art. 83 LTF n'est réalisée, la voie du recours en matière de droit public est ouverte sur la base des art. 82 let. a LTF et 146 LIFD. En matière d'impôt cantonal et communal,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1.3</w:t>
      </w:r>
    </w:p>
    <w:p>
      <w:r>
        <w:t>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w:t>
      </w:r>
    </w:p>
    <w:p>
      <w:r>
        <w:rPr>
          <w:b/>
        </w:rPr>
        <w:t>E. 1.4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 I.       Impôt fédéral direct</w:t>
      </w:r>
    </w:p>
    <w:p>
      <w:r>
        <w:rPr>
          <w:b/>
        </w:rPr>
        <w:t>E. 2</w:t>
      </w:r>
    </w:p>
    <w:p>
      <w:r>
        <w:t>[...]</w:t>
      </w:r>
    </w:p>
    <w:p>
      <w:r>
        <w:rPr>
          <w:b/>
        </w:rPr>
        <w:t>E. 2.1</w:t>
      </w:r>
    </w:p>
    <w:p>
      <w:r>
        <w:t>L'art. 6 de la loi fédérale du 14 décembre 1990 sur l'impôt fédéral direct (LIFD; RS 642.11) a la teneur suivante: " 1 L'assujettissement fondé sur un rattachement personnel est illimité; il ne s'étend toutefois pas aux entreprises, aux établissements stables et aux immeubles situés à l'étranger.</w:t>
      </w:r>
    </w:p>
    <w:p>
      <w:r>
        <w:rPr>
          <w:b/>
        </w:rPr>
        <w:t>E. 2.2</w:t>
      </w:r>
    </w:p>
    <w:p>
      <w:r>
        <w:t>Les recourants se plaignent par conséquent en vain de l'interprétation de l'Instance précédente selon laquelle l'excédent de charges liées aux immeubles sis à l'étranger fait partie des « autres hypothèses » prévues à l'art. 6 al. 3, 3ème phr. LIFD, de sorte qu'il ne doit être pris en considération en Suisse que lors de la détermination du taux de l'impôt. Le recours est par conséquent rejeté en tant qu'il concerne l'impôt fédéral direct. II.       Impôt cantonal et communal 3.</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3.1</w:t>
      </w:r>
    </w:p>
    <w:p>
      <w:r>
        <w:t>La loi du 14 décembre 1990 sur l'harmonisation des impôts directs des cantons et des communes (LHID; loi sur l'harmonisation fiscale; RS 642.14) règle l'assujettissement à raison du rattachement personnel à son art. 3. Contrairement à la loi sur l'impôt fédéral direct, la loi sur l'harmonisation ne contient pas de disposition relative à l'étendue de cet assujettissement. Elle ne règle par conséquent pas la question de savoir si les pertes subies à l'étranger peuvent être déduites de l'assiette de l'impôt en Suisse. Cela ne permet pas encore d'affirmer que les cantons disposent sur cette question d'une marge d'autonomie législative, d'autant moins qu'il s'agit d'une matière dont l'harmonisation est expressément prévue par la Constitution fédérale ( ATF 130 II 65 consid. 4.1 p. 70). La question a d'ailleurs déjà été laissée ouverte dans les ATF 140 II 141 (consid. 8) et 140 II 157 (consid. 5), du moment qu'à l'instar de la majorité des cantons suisses, le canton de Genève a repris les règles de l' art. 6 LIFD à l'art. 5 al. 1 et 4 de la loi genevoise du 27 septembre 2009 sur l'imposition des personnes physiques (LIPP; RSGE D 3 08) dont la teneur est la suivante: " 1 L'assujettissement fondé sur un rattachement personnel est illimité; il ne s'étend toutefois pas aux entreprises, aux établissements stables et aux immeubles situés hors du canton.</w:t>
      </w:r>
    </w:p>
    <w:p>
      <w:r>
        <w:rPr>
          <w:b/>
        </w:rPr>
        <w:t>E. 3.2</w:t>
      </w:r>
    </w:p>
    <w:p>
      <w:r>
        <w:t>La question peut rester ouverte en l'espèce. En effet si cette reprise s'est faite dans le cadre de la marge d'autonomie laissée par la loi sur l'harmonisation fiscale et qu'il s'agit de droit cantonal autonome, dont le Tribunal de céans revoit l'application conformément à l' art. 106 al. 2 LTF , il appartient à la partie recourante d'exposer précisément en quoi la mauvaise application des dispositions cantonales constitue une violation du droit fédéral - y compris le droit international -, en particulier de l'interdiction de l'arbitraire au sens de l' art. 9 Cst. (cf. ATF 138 V 67 consid. 2.2 p. 69). Or, les recourants se limitent en l'occurrence à faire valoir que "dès lors que l'art. 5 al. 4 LIPP ne fait pas partie des normes entrant dans le champ de l'harmonisation, il y a lieu de respecter les règles du droit fiscal intercantonal". Ils n'exposent pas en quoi l'art. 5 al. 4 LIPP-I aurait été appliqué de manière arbitraire, de sorte que le recours est dans cette mesure irrecevable. Si, en revanche, l'art. 5 LIPP constitue du droit cantonal harmonisé, dont le Tribunal de céans revoit librement l'application, il y a lieu, en vue d'une harmonisation verticale ( ATF 140 II 141 consid. 8 p. 156 s.), d'interpréter cette disposition de la même manière que l' art. 6 LIFD , dont elle reprend la teneur et de se référer entièrement à la motivation développée ci-dessus (consid. 2) en relation avec l' art. 6 LIFD et de rejeter le recours pour les mêmes motifs ( ATF 140 II 157 consid. 5 p. 159 s.).</w:t>
      </w:r>
    </w:p>
    <w:p>
      <w:r>
        <w:rPr>
          <w:b/>
        </w:rPr>
        <w:t>E. 4</w:t>
      </w:r>
    </w:p>
    <w:p>
      <w:r>
        <w:t>Les recourants se plaignent de la violation du principe de l'imposition selon la capacité économique ancré à l' art. 127 al. 2 Cst. Il est douteux que la violation de l' art. 127 al. 2 Cst. soit suffisamment motivée au regard des exigences accrues de l' art. 106 al. 2 LTF . Cette question peut demeurer ouverte puisque le grief doit être rejeté. En effet, le Tribunal fédéral a déjà jugé que le refus de déduire l'excédent de charges liées à un immeuble sis à l'étranger de l'assiette de l'impôt cantonal et communal genevois ne viole ni le principe de l'imposition selon la capacité contributive ni celui de l'égalité de l'imposition ( ATF 140 II 157 consid. 7 p. 160 ss et les références citées). Le recours est rejeté en tant qu'il concerne l'impôt cantonal et communal, dans la mesure où il est recevable.</w:t>
      </w:r>
    </w:p>
    <w:p>
      <w:r>
        <w:rPr>
          <w:b/>
        </w:rPr>
        <w:t>E. 5</w:t>
      </w:r>
    </w:p>
    <w:p>
      <w:r>
        <w:t>Les considérants qui précèdent conduisent au rejet du recours. Succombant, les recourants doivent supporter un émolument judiciaire, solidairement entre eux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