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147/2014 vom 26. September 2014</w:t>
      </w:r>
    </w:p>
    <w:p>
      <w:r>
        <w:t>Bundesgericht, 2014-09-26, DE</w:t>
      </w:r>
    </w:p>
    <w:p>
      <w:r>
        <w:rPr>
          <w:b/>
        </w:rPr>
        <w:t xml:space="preserve">Quelle: </w:t>
      </w:r>
      <w:r>
        <w:t>https://mcp.opencaselaw.ch/entscheid/bger_2C_147_2014</w:t>
      </w:r>
    </w:p>
    <w:p>
      <w:r>
        <w:t>FR: TF 2C 147/2014 du 26 septembre 2014</w:t>
      </w:r>
    </w:p>
    <w:p>
      <w:r>
        <w:t>IT: TF 2C 147/2014 del 26 settembre 2014</w:t>
      </w:r>
    </w:p>
    <w:p>
      <w:pPr>
        <w:pStyle w:val="Heading2"/>
      </w:pPr>
      <w:r>
        <w:t>Regeste</w:t>
      </w:r>
    </w:p>
    <w:p>
      <w:r>
        <w:t>Widerruf der Niederlassungsbewilligung und Wegweisung | Bürgerrecht und Ausländerrecht</w:t>
      </w:r>
    </w:p>
    <w:p>
      <w:pPr>
        <w:pStyle w:val="Heading2"/>
      </w:pPr>
      <w:r>
        <w:t>Erwägungen</w:t>
      </w:r>
    </w:p>
    <w:p>
      <w:r>
        <w:rPr>
          <w:b/>
        </w:rPr>
        <w:t>E. 1.1</w:t>
      </w:r>
    </w:p>
    <w:p>
      <w:r>
        <w:t>Angefochten ist das letztinstanzliche, verfahrensabschliessende Urteil eines kantonalen Gerichts auf dem Gebiet des öffentlichen Rechts, welches grundsätzlich der Beschwerde in öffentlich-rechtlichen Angelegenheiten unterliegt (vgl. Art. 82 lit. a, Art. 86 Abs. 1 lit. d, Art. 90 BGG ). Gegen Entscheide über den Widerruf einer Niederlassungsbewilligung ist die Beschwerde in öffentlich-rechtlichen Angelegenheiten zulässig, weil grundsätzlich ein Anspruch auf das Fortbestehen dieser Bewilligung gegeben ist ( BGE 135 II 1 E. 1.2.1 S. 4).</w:t>
      </w:r>
    </w:p>
    <w:p>
      <w:r>
        <w:rPr>
          <w:b/>
        </w:rPr>
        <w:t>E. 1.2</w:t>
      </w:r>
    </w:p>
    <w:p>
      <w:r>
        <w:t>Die übrigen Sachurteilsvoraussetzungen (Form, Frist und Legitimation gemäss Art. 42, Art. 100 Abs. 1 und Art. 89 Abs. 1 BGG ) sind erfüllt, so dass auf die Beschwerde einzutreten ist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3.1</w:t>
      </w:r>
    </w:p>
    <w:p>
      <w:r>
        <w:t>Gemäss Art. 63 Abs. 1 lit. a AuG (SR 142.20)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 Mehrere unterjährige Strafen dürfen bei der Berechnung nicht kumuliert werden; indessen spielt es keine Rolle, ob die Strafe bedingt, teilbedingt oder unbedingt ausgesprochen wurde ( BGE 139 I 16 E. 2.1 S. 18). Dieser Widerrufsgrund gilt auch für Personen, welche - wie der Beschwerdeführer - im Zeitpunkt des Widerrufs (vgl. BGE 137 II 10 E. 4.2 S. 12) mehr als 15 Jahre ununterbrochen und ordnungsgemäss in der Schweiz gelebt haben (vgl. Art. 63 Abs. 2 AuG). Es ist unbestritten, dass der Beschwerdeführer durch die Verurteilung zu einer Freiheitsstrafe von drei Jahren einen Widerrufsgrund im Sinn von Art. 63 Abs. 2 AuG i.V.m. Art. 62 lit. b AuG gesetzt hat.</w:t>
      </w:r>
    </w:p>
    <w:p>
      <w:r>
        <w:rPr>
          <w:b/>
        </w:rPr>
        <w:t>E. 3.2</w:t>
      </w:r>
    </w:p>
    <w:p>
      <w:r>
        <w:t>Liegt ein Widerrufsgrund vor, ist zu prüfen, ob die Massnahme verhältnismässig ist ( Art. 5 Abs. 2 BV ; vgl. auch Art. 96 Abs. 1 AuG). Dabei sind namentlich die Schwere des Verschuldens, der Grad der Integration sowie die dem Betroffenen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 BGE 139 I 31 E. 2.3.1 S. 33 f.; 135 II 377 E. 4.3 S. 381; Urteile 2C_819/2013 vom 24. Januar 2014 E. 3.3; 2C_740/2013 vom 10. Januar 2014 E. 3.2).</w:t>
      </w:r>
    </w:p>
    <w:p>
      <w:r>
        <w:rPr>
          <w:b/>
        </w:rPr>
        <w:t>E. 3.3</w:t>
      </w:r>
    </w:p>
    <w:p>
      <w:r>
        <w:t>Der Beschwerdeführer ist mit einer Schweizer Bürgerin verheiratet und lebt mit ihr - soweit es der Strafvollzug zulässt - in ungetrennter Ehe. Die gemeinsame Tochter war im Zeitpunkt des angefochtenen Urteils zwei Jahre alt. Die Notwendigkeit einer Interessenabwägung ergibt sich somit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w:t>
      </w:r>
    </w:p>
    <w:p>
      <w:r>
        <w:rPr>
          <w:b/>
        </w:rPr>
        <w:t>E. 4.1</w:t>
      </w:r>
    </w:p>
    <w:p>
      <w:r>
        <w:t>Ausgangspunkt für das migrationsrechtliche Verschulden ist die vom Strafgericht ausgesprochene Strafe ( BGE 134 II 10 E. 4.2 S. 23; 129 II 215 E. 3.1 S. 216). Der Beschwerdeführer ist zu einer Freiheitsstrafe von drei Jahren verurteilt worden, weil er am 29. März 2008 im Rahmen einer verbalen Auseinandersetzung einen ihm unbekannten Mann mit einem Messer attackiert und ihm dabei eine Stichverletzung im Bereich des linksseitigen Brustkorbs zugefügt hatte. Durch den Sauerstoffmangel und den hohen Blutverlust hatte sich das Opfer in unmittelbarer Lebensgefahr befunden, obwohl keine lebenswichtigen Organe verletzt worden waren. Das Obergericht stufte das Verschulden in Bezug auf diese Straftat als leicht bis mittelschwer ein. Die vom Beschwerdeführer vorgebrachten Details zur Ausführung der Straftat lassen den von der Vorinstanz festgestellten Sachverhalt nicht als willkürlich erscheinen; zudem würde deren Berücksichtigung nichts an der Würdigung der strafrechtlichen Verurteilung ändern.</w:t>
      </w:r>
    </w:p>
    <w:p>
      <w:r>
        <w:rPr>
          <w:b/>
        </w:rPr>
        <w:t>E. 4.2</w:t>
      </w:r>
    </w:p>
    <w:p>
      <w:r>
        <w:t>Das migrationsrechtliche Verschulden ergibt sich - ausgehend vom verfahrensauslösenden Delikt - aus einer Gesamtbetrachtung des deliktischen Verhaltens bis zum angefochtenen Urteil, wobei das Alter bei der jeweiligen Tatbegehung sowie die Art, Anzahl und Frequenz der Delikte zu berücksichtigen ist (Urteil 2C_28/2014 vom 21. Juli 2014 E. 6.3). Das Strafmass von drei Jahren Freiheitsstrafe für das verfahrensauslösende Delikt indiziert bereits ein erhebliches Verschulden, liegt es doch weit über der Grenze von einem Jahr, welche für die Möglichkeit des Widerrufs massgeblich ist (vgl. E. 3.1). Sodann gehört die schwere Körperverletzung als strafbare Handlung gegen Leib und Leben zu jenen "Gewaltdelikten", welche gemäss Art. 121 Abs. 3 lit. a BV ohne Rücksicht auf den ausländerrechtlichen Status zum Verlust des Aufenthaltsrechts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 139 I 145 E. 2.5 S. 150). Im Übrigen verfolgte das Bundesgericht bereits vor Inkrafttreten von Art. 121 Abs. 3-6 BV eine strenge ausländerrechtliche Praxis, wenn hohe Rechtsgüter wie die körperliche Integrität betroffen waren (vgl. BGE 122 II 433 E. 2c S. 436).</w:t>
      </w:r>
    </w:p>
    <w:p>
      <w:r>
        <w:rPr>
          <w:b/>
        </w:rPr>
        <w:t>E. 4.3</w:t>
      </w:r>
    </w:p>
    <w:p>
      <w:r>
        <w:t>Der Beschwerdeführer weist zutreffend darauf hin, dass die Vorinstanz offensichtlich zu Unrecht davon ausgeht, er habe keine Reue gezeigt. Aus dem Urteil des Obergerichts vom 25. Oktober 2012 geht eindeutig hervor, dass der Beschwerdeführer die schwere Körperverletzung bereut hat und dieser Umstand in die Strafzumessung eingeflossen ist. Für das migrationsrechtliche Verschulden darf daher dem Beschwerdeführer keine mangelnde Reue vorgeworfen werden. Diese Korrektur ändert indessen nichts an der Gesamtwürdigung, wie nachfolgend aufzuzeigen ist.</w:t>
      </w:r>
    </w:p>
    <w:p>
      <w:r>
        <w:rPr>
          <w:b/>
        </w:rPr>
        <w:t>E. 4.4</w:t>
      </w:r>
    </w:p>
    <w:p>
      <w:r>
        <w:t>Knapp zehn Monate nach Begehung der verfahrensauslösenden Straftat und anschliessender Untersuchungshaft vom 29. März 2008 bis 4. April 2008 machte sich der Beschwerdeführer der Hehlerei schuldig, wofür er zu einer bedingten Geldstrafe verurteilt wurde. Das Verschulden in Bezug auf diese Tat wurde vom Obergericht als leicht eingestuft. In migrationsrechtlicher Hinsicht fällt die erneute Delinquenz negativ ins Gewicht. Dem Beschwerdeführer ist darin zuzustimmen, dass die Erwägungen der Vorinstanz, wonach nur ein Wohlverhalten von fünf Jahren seit der letzten rechtskräftigen Verurteilung in migrationsrechtlicher Hinsicht verschuldensmindernd wirkt, mit der Praxis des Bundesgerichts und des EGMR nicht vereinbar ist. Vielmehr ist das seit dem verfahrensauslösenden Delikt an den Tag gelegte Verhalten zu würdigen (vgl. zum Ganzen Urteil 2C_28/2014 vom 21. Juli 2014 E. 6.6). Seit diesem Zeitpunkt hat der Beschwerdeführer - wie soeben erwähnt (vgl. erster Abschnitt) - eine weitere Straftat begangen. Daraus, dass er sich seither wohl verhalten hat, kann er nichts zu seinen Gunsten ableiten, stand er doch bis zum angefochtenen Urteil unter dem Eindruck des Strafverfahrens: Am 29. Oktober 2009 wurde er angeklagt; es folgte eine erste (vom Bundesgericht am 4. Juni 2012 aufgehobene) Verurteilung zu einer Gesamtstrafe wegen versuchter vorsätzlicher Tötung und Hehlerei. Nach der rechtskräftigen Verurteilung vom 25. Oktober 2012 durch das Obergericht trat der Beschwerdeführer am 27. September 2013 den Strafvollzug (Halbgefangenschaft) an. Das im Frühling 2013 eingeleitete Widerrufsverfahren betreffend die Niederlassungsbewilligung dürfte ihn zusätzlich unter Druck gesetzt haben. Das öffentliche Interesse an der Beendigung des Aufenthalts wird somit durch das seit der verfahrensauslösenden Straftat gezeigte Verhalten erhöht.</w:t>
      </w:r>
    </w:p>
    <w:p>
      <w:r>
        <w:rPr>
          <w:b/>
        </w:rPr>
        <w:t>E. 4.5</w:t>
      </w:r>
    </w:p>
    <w:p>
      <w:r>
        <w:t>Der Beschwerdeführer ist in Bezug auf das verfahrensauslösende Delikt quasi als Ersttäter zu betrachten, kann doch im (wenn auch wiederholten) Nichttragen der Sicherheitsgurte keine kriminelle Energie erblickt werden. Dieser Umstand ist zugunsten des Beschwerdeführers zu gewichten (vgl. BGE 139 I 145 E. 3.8 S. 154), ebenso die Tatsache, dass er im Tatzeitpunkt erst 18 Jahre und vier Monate alt war (zur jugendlichen Delinquenz vgl. Urteil des EGMR Emre gegen Schweiz [Nr. 1] vom 22. Mai 2008 [42034/04] § 74). Gesamthaft aber lassen die Art des Delikts (schwere Körperverletzung) und die zusätzliche Delinquenz (Hehlerei) das sicherheitspolizeiliche Interesse an der Beendigung des Aufenthalts als zwar nicht sehr gross (wie die Vorinstanz erwogen hat), aber als erheblich erscheinen.</w:t>
      </w:r>
    </w:p>
    <w:p>
      <w:r>
        <w:rPr>
          <w:b/>
        </w:rPr>
        <w:t>E. 5</w:t>
      </w:r>
    </w:p>
    <w:p>
      <w:r>
        <w:t>Dem öffentlichen Interesse an der Wegweisung des Beschwerdeführers sind dessen private Interessen an einem Verbleib in der Schweiz gegenüberzustellen.</w:t>
      </w:r>
    </w:p>
    <w:p>
      <w:r>
        <w:rPr>
          <w:b/>
        </w:rPr>
        <w:t>E. 5.1</w:t>
      </w:r>
    </w:p>
    <w:p>
      <w:r>
        <w:t>Der Beschwerdeführer reiste im Alter von vier Jahren und neun Monaten in die Schweiz ein; er hat somit den grössten Teil seines Lebens hier verbracht. Die lange Aufenthaltsdauer von 19 Jahren spricht für ein erhöhtes Interesse an einem Verbleib in der Schweiz. Immerhin hat der Beschwerdeführer seine ersten Lebensjahre im Kosovo verbracht, so dass (wenn auch schwache) Anknüpfungspunkte zu seinem Herkunftsland bestehen. Der Beschwerdeführer beherrscht - zumindest mündlich - die albanische Sprache.</w:t>
      </w:r>
    </w:p>
    <w:p>
      <w:r>
        <w:rPr>
          <w:b/>
        </w:rPr>
        <w:t>E. 5.2</w:t>
      </w:r>
    </w:p>
    <w:p>
      <w:r>
        <w:t>Der Beschwerdeführer ist beruflich und sozial gut integriert; auch dieser Umstand ist zu seinen Gunsten zu würdigen.</w:t>
      </w:r>
    </w:p>
    <w:p>
      <w:r>
        <w:rPr>
          <w:b/>
        </w:rPr>
        <w:t>E. 5.3</w:t>
      </w:r>
    </w:p>
    <w:p>
      <w:r>
        <w:t>Zu prüfen bleiben die Nachteile, welche sich bei einem Widerruf der Niederlassungsbewilligung für die Familie des Beschwerdeführers ergäben. Rechtsprechungsgemäss werden unter dem Aspekt des Ehe- und Familienlebens die Dauer der ehelichen Beziehung und weitere Gesichtspunkte berücksichtigt, welche Rückschlüsse auf deren Intensität zulassen (Geburt und Alter allfälliger Kinder, Kenntnis der Tatsache, dass die Beziehung wegen der Straftat unter Umständen nicht in der Schweiz wird gelebt werden können; vgl. BGE 135 II 377 E. 4.3 S. 381). Die Vorinstanz bejaht die Zumutbarkeit für die Ausreise der Tochter des Beschwerdeführers mit Hinweis darauf, diese befinde sich noch in einem anpassungsfähigen Alter. Der Beschwerdeführer macht geltend, dies sei hier nicht massgeblich, da ein Kind schweizerischer Nationalität gemäss Art. 24 BV und Art. 25 Abs. 1 BV nicht zur Ausreise gezwungen werden dürfe. Der Grundsatz, dass das Kind das ausländerrechtliche Schicksal des sorgeberechtigten Elternteils teilen muss ( BGE 135 I 153 E. 2.2 S. 156 ff.; Urteil 2C_467/2012 vom 25. Januar 2013 E. 2.1.4 mit Hinweisen), ist insbesondere dann von Bedeutung, wenn nur ein sorgeberechtigter Elternteil vorhanden ist und das Schweizer Kind ihm ins Ausland folgen müsste, weil dieser seinen Aufenthaltstitel verloren hat. Hier aber sind die erwähnten Verfassungsbestimmungen nicht tangiert, weil die Eltern darüber entscheiden können, ob die Tochter in der Schweiz aufwächst: Die Ehefrau des Beschwerdeführers hat die Wahl, mit der Tochter in der Schweiz zu bleiben oder dem Beschwerdeführer in den Kosovo zu folgen. Entscheidet sie sich für letzteres, trifft dies die Tochter weniger hart, als wenn sie bereits eingeschult wäre. Die Vorinstanz durfte daher in die Abwägung einbeziehen, dass die Tochter des Beschwerdeführers noch ein Kleinkind war. Auch der Ehefrau des Beschwerdeführers, die aus dem Kosovo stammt, jedoch im Alter von rund einem Jahr in die Schweiz gekommen war und heute Schweizer Bürgerin ist, ist eine Ausreise nicht a priori unzumutbar (vgl. für eine ähnliche Konstellation BGE 139 I 31 E. 3.2 S. 37). Daraus folgt indessen nicht, dass durch den Widerruf der Niederlassungsbewilligung der Schutzbereich von Art. 8 Ziff. 1 EMRK nicht berührt würde. Dies wäre nur der Fall, wenn es der Ehefrau "ohne Schwierigkeiten" möglich wäre, mit dem Beschwerdeführer auszureisen (BGE 135 I I 153 E. 2.1 S. 155). Wenn aber - wie hier - die Ausreise für den Ehepartner der betroffenen Person lediglich "nicht von vornherein ohne weiteres zumutbar" erscheint, ist der Schutzbereich berührt und eine Interessenabwägung nach Art. 8 Ziff. 2 EMRK geboten ( BGE 135 I 153 E. 2.1 S. 155). Diese fällt hier zuungunsten der Eheleute aus, weil sie im Zeitpunkt der Heirat am 17. Oktober 2011 wissen mussten, dass die Ehe unter Umständen nicht in der Schweiz würde gelebt werden können. Entgegen dem Vorbringen des Beschwerdeführers durften er und seine Frau bei der Familienplanung (also ungefähr zu Beginn des Jahres 2011) nicht mit dem gemeinsamen Familienleben in der Schweiz rechnen, denn das Strafverfahren gegen den Beschwerdeführer war bereits seit Frühling 2009 im Gang und aufgrund der Schwere der Straftat musste beiden klar sein, dass die Niederlassungsbewilligung zumindest gefährdet war. Sollte die Ehefrau es vorziehen, mit der Tochter (und dem zwischenzeitlich geborenen zweiten Kind) in der Schweiz zu bleiben, kann der Kontakt zwischen den Eheleuten vom Kosovo aus ohne grössere Schwierigkeiten mit gelegentlichen Besuchen und den heute zur Verfügung stehenden Kommunikationsmitteln aufrecht erhalten werden. Eine Verletzung von Art. 8 Ziff. 1 EMRK ist zu verneinen.</w:t>
      </w:r>
    </w:p>
    <w:p>
      <w:r>
        <w:rPr>
          <w:b/>
        </w:rPr>
        <w:t>E. 5.4</w:t>
      </w:r>
    </w:p>
    <w:p>
      <w:r>
        <w:t>Ausserhalb des Schutzbereichs von Art. 8 Ziff. 1 EMRK befindet sich das vom Beschwerdeführer geltend gemachte Zusammenleben seiner Familie mit seinen Eltern in deren Haus. Art. 8 EMRK schützt im Zusammenhang mit der Bewilligung der Anwesenheit in der Schweiz in erster Linie die Kernfamilie, d.h. die Gemeinschaft der Ehegatten mit ihren minderjährigen Kindern ( BGE 135 I 143 E. 1.3.2 S. 146). In Bezug auf andere Beziehungen zwischen nahen Verwandten, namentlich solche von erwachsenen Kindern zu ihren Eltern, setzt die Berufung auf Art. 8 Ziff. 1 EMRK voraus, dass die ausländische Person sich in einem besonderen, über die normalen affektiven Bindungen hinausgehenden Abhängigkeitsverhältnis zum anwesenheitsberechtigten Elternteil befindet ( BGE 137 I 154 E. 3.4.2 S. 159; 129 II 11 E. 2 S. 14; Urteil 2C_546/2013 vom 5. Dezember 2013 E. 4.1). Anhaltspunkte für solche aussergewöhnlichen Umstände - wie etwa eine Behinderung oder eine schwere Krankheit - sind hier nicht vorhanden. Ein finanzieller Vorteil, wie er aus der geltend gemachten Kinderbetreuung durch die Grosseltern im Vergleich zu einer Fremdbetreuung resultiert, stellt keine Abhängigkeit im Sinn dieser Rechtsprechung dar. Der Anwendungsbereich von Art. 8 EMRK würde zu stark ausgeweitet, wenn erwachsene Kinder, welche - wie der Beschwerdeführer - in der Lage sind, für ihren Unterhalt aufzukommen, aus dieser Bestimmung ein Recht auf Zusammenleben mit ihren Eltern und damit auf eine Aufenthaltserlaubnis ableiten könnten (Urteil 2C_546/2013 vom 5. Dezember 2013 E. 4.1). Die Rechtsprechung zum erweiterten Familienbegriff findet somit auf den Beschwerdeführer keine Anwendung.</w:t>
      </w:r>
    </w:p>
    <w:p>
      <w:r>
        <w:rPr>
          <w:b/>
        </w:rPr>
        <w:t>E. 6</w:t>
      </w:r>
    </w:p>
    <w:p>
      <w:r>
        <w:t>Zusammenfassend ist festzuhalten, dass der Beschwerdeführer eine schwere Straftat begangen hat und wenige Monate später erneut delinquierte. Er hat dadurch ein schweres Verschulden auf sich geladen. Die Ehe wurde während des Strafprozesses geschlossen, so dass der Beschwerdeführer und seine Frau wissen mussten, dass sie ihre Ehe eventuell nicht in der Schweiz würden leben können. Unter solchen Umständen ist es gerechtfertigt, auch die Niederlassungsbewilligung einer lange in der Schweiz ansässigen Person zu widerrufen (vgl. E. 3.2). Das öffentliche Interesse an der Beendigung des Aufenthalts überwiegt die privaten Interessen des Beschwerdeführers am Verbleib in der Schweiz, und der Widerruf der Niederlassungsbewilligung erweist sich als verhältnismässig.</w:t>
      </w:r>
    </w:p>
    <w:p>
      <w:r>
        <w:rPr>
          <w:b/>
        </w:rPr>
        <w:t>E. 7</w:t>
      </w:r>
    </w:p>
    <w:p>
      <w:r>
        <w:t>Nach dem Gesagten ist die Beschwerde als unbegründet abzuweisen. 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