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2C_145/2013 vom 25. Februar 2013</w:t>
      </w:r>
    </w:p>
    <w:p>
      <w:r>
        <w:t>Bundesgericht, 2013-02-25, FR</w:t>
      </w:r>
    </w:p>
    <w:p>
      <w:r>
        <w:rPr>
          <w:b/>
        </w:rPr>
        <w:t xml:space="preserve">Quelle: </w:t>
      </w:r>
      <w:r>
        <w:t>https://mcp.opencaselaw.ch/entscheid/bger_2C_145_2013</w:t>
      </w:r>
    </w:p>
    <w:p>
      <w:r>
        <w:t>FR: TF 2C_145/2013 du 25 février 2013</w:t>
      </w:r>
    </w:p>
    <w:p>
      <w:r>
        <w:t>IT: TF 2C_145/2013 del 25 febbraio 2013</w:t>
      </w:r>
    </w:p>
    <w:p>
      <w:pPr>
        <w:pStyle w:val="Heading2"/>
      </w:pPr>
      <w:r>
        <w:t>Erwägungen</w:t>
      </w:r>
    </w:p>
    <w:p>
      <w:r>
        <w:rPr>
          <w:b/>
        </w:rPr>
        <w:t>E. 1</w:t>
      </w:r>
    </w:p>
    <w:p>
      <w:r>
        <w:t>Par arrêt du 7 janvier 2013, le Tribunal cantonal du canton de Vaud a déclaré irrecevable le recours déposé le 28 novembre 2012 par X.________, ressortissant marocain né le 7 février 2007, contre la décision du 6 avril 2011 du Service de la population du canton de Vaud refusant de renouveler l'autorisation de séjour que l'intéressé avait obtenue le 6 mars 2007 à la suite de son mariage avec Y.________, ressortissante italienne, au Maroc le 29 septembre 2006. Le recours était tardif et les conditions pour la restitution du délai n'étaient pas réunies.</w:t>
      </w:r>
    </w:p>
    <w:p>
      <w:r>
        <w:rPr>
          <w:b/>
        </w:rPr>
        <w:t>E. 2</w:t>
      </w:r>
    </w:p>
    <w:p>
      <w:r>
        <w:t>Par courrier intitulé recours du 7 février 2013, X.________ demande au Tribunal fédéral d'annuler la décision du Service de la population du 6 avril 2011, ce dernier devant renouveler l'autorisation de séjour en Suisse. Il expose les circonstances qui ont entouré la vie du couple et les difficultés dans lesquelles se trouve sa famille au Maroc.</w:t>
      </w:r>
    </w:p>
    <w:p>
      <w:r>
        <w:rPr>
          <w:b/>
        </w:rPr>
        <w:t>E. 3</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521s.). Il appartient toutefois à la partie recourante d'invoquer ce grief et de le motiver d'une manière suffisante (cf. art. 106 al. 2 LTF , ATF 136 I 65 consid. 1.3.1 p. 68). Elle doit donc préciser en quoi l'acte attaqué serait arbitraire, ne reposerait sur aucun motif sérieux et objectif, apparaîtrait insoutenable ou heurterait gravement le sens de la justice ( ATF 133 II 396 consid. 3.2 p. 400).</w:t>
      </w:r>
    </w:p>
    <w:p>
      <w:r>
        <w:t>Il appartenait donc au recourant non seulement d'invoquer l' art. 9 Cst. mais également de démontrer concrètement en quoi l'instance précédente aurait, le cas échéant, appliqué de manière arbitraire le droit de procédure cantonal en matière de délai de recours et de restitution des délais, ce qu'il n'a pas fait d'une manière conforme aux exigences accrues de motivation de l' art. 106 al. 2 LTF . Il se borne en effet à présenter une nouvelle fois les faits qui devraient selon lui conduire à constater qu'il a vécu en ménage commun avec son épouse plus de trois ans et à sa bonne intégration en Suisse.</w:t>
      </w:r>
    </w:p>
    <w:p>
      <w:r>
        <w:rPr>
          <w:b/>
        </w:rPr>
        <w:t>E. 4</w:t>
      </w:r>
    </w:p>
    <w:p>
      <w:r>
        <w:t>Le recours est ainsi manifestement irrecevable ( art. 108 al. 1 let. b LTF ) et doit être traité selon la procédure simplifiée de l' art. 108 LTF , sans qu'il y ait lieu d'ordonner un échange d'écritures. La requête d'effet suspensif est devenue sans objet. Succombant, le recourant doit supporter les frais de la procédure fédérale ( art. 66 al. 1 LTF ) et n'a pas droit à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