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144/2015 vom 16. Februar 2015</w:t>
      </w:r>
    </w:p>
    <w:p>
      <w:r>
        <w:t>Bundesgericht, 2015-02-16, DE</w:t>
      </w:r>
    </w:p>
    <w:p>
      <w:r>
        <w:rPr>
          <w:b/>
        </w:rPr>
        <w:t xml:space="preserve">Quelle: </w:t>
      </w:r>
      <w:r>
        <w:t>https://mcp.opencaselaw.ch/entscheid/bger_2C_144_2015</w:t>
      </w:r>
    </w:p>
    <w:p>
      <w:r>
        <w:t>FR: TF 2C 144/2015 du 16 février 2015</w:t>
      </w:r>
    </w:p>
    <w:p>
      <w:r>
        <w:t>IT: TF 2C 144/2015 del 16 febbraio 2015</w:t>
      </w:r>
    </w:p>
    <w:p>
      <w:pPr>
        <w:pStyle w:val="Heading2"/>
      </w:pPr>
      <w:r>
        <w:t>Regeste</w:t>
      </w:r>
    </w:p>
    <w:p>
      <w:r>
        <w:t>Widerruf der Aufenthaltsbewilligung | Bürgerrecht und Ausländerrecht</w:t>
      </w:r>
    </w:p>
    <w:p>
      <w:pPr>
        <w:pStyle w:val="Heading2"/>
      </w:pPr>
      <w:r>
        <w:t>Erwägungen</w:t>
      </w:r>
    </w:p>
    <w:p>
      <w:r>
        <w:rPr>
          <w:b/>
        </w:rPr>
        <w:t>E. 1</w:t>
      </w:r>
    </w:p>
    <w:p>
      <w:r>
        <w:t>Der 1981 geborene serbische Staatsangehörige A.________ reiste am 26. Juli 2012 im Alter von gut 31 Jahren in die Schweiz ein, wo er tags darauf eine Schweizer Bürgerin heiratete. Er erhielt gestützt auf Art. 42 AuG eine Aufenthaltsbewilligung, die einmal bis zum 26. Juli 2015 verlängert wurde. Nach einer Anzeige seiner Ehefrau betreffend häusliche Gewalt wurde er am 30. Juli 2013 polizeilich aus der ehelichen Wohnung weggewiesen; am 9. August 2013 wurde ihm gerichtlich untersagt, sich seiner Ehefrau zu nähern, sie zu kontaktieren, zu belästigen oder zu bedrohen; am 15. Oktober 2013 wurde das Getrenntleben der Ehegatten gerichtlich bewilligt. Am 28. März 2014 widerrief das Amt für Migration Basel-Landschaft die Aufenthaltsbewilligung von A.________ und verfügte seine Wegweisung. Eine gegen diese Verfügung erhobene Beschwerde an den Regierungsrat des Kantons Basel-Landschaft blieb erfolglos (Beschluss vom 30. Juni 2014), und mit Urteil vom 5. November 2014 wies das Kantonsgericht Basel-Landschaft, Abteilung Verfassungs- und Verwaltungsrecht, die gegen den regierungsrätlichen Beschluss erhobene Beschwerde ab. Mit Beschwerde in öffentlich-rechtlichen Angelegenheiten vom 13. Februar 2015 beantragt A.________ dem Bundesgericht, das Urteil des Kantonsgerichts sei aufzuheben und es sei ihm die Aufenthaltsbewilligung zu erteilen.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140 III 264 ; 137 I 58 E. 4.1.2 S. 62; je mit Hinweisen).</w:t>
      </w:r>
    </w:p>
    <w:p>
      <w:r>
        <w:rPr>
          <w:b/>
        </w:rPr>
        <w:t>E. 2.2</w:t>
      </w:r>
    </w:p>
    <w:p>
      <w:r>
        <w:t>Der Bewilligungswiderruf stützt sich auf Art. 62 lit. d AuG, wonach die Aufenthaltsbewilligung widerrufen werden kann, wenn der Ausländer eine mit der Bewilligungserteilung verbundene Bedingung nicht einhält. Vorliegend beruhte die Bewilligungserteilung auf Art. 42 Abs. 1 AuG, der dem ausländischen Ehegatten einer Schweizerin Anspruch auf Erteilung und Verlängerung der Aufenthaltsbewilligung einräumt, wenn er mit dieser zusammenwohnt. Die Wohngemeinschaft wurde nach rund einjähriger Ehe - definitiv - aufgegeben, sodass die Bedingung des Zusammenwohnens nicht mehr erfüllt ist. Das Kantonsgericht legt dar, warum auch die Voraussetzungen von Art. 50 Abs. 1 lit. b bzw. Abs. 2 AuG für ein Weiterbestehen des Bewilligungsanspruchs nicht erfüllt seien (E. 5.2-5.5), Art. 8 EMRK unter den gegebenen Umständen nicht angerufen werden könne (E. 6) und der Bewilligungswiderruf, auch unter dem Aspekt einer Ermessensbewilligung (E. 7), verhältnismässig sei (E. 8). Der Beschwerdeführer wirft der Vorinstanz hinsichtlich von Art. 50 AuG Ermessensmissbrauch und Verletzung klaren Rechts vor. Inwiefern sie hinsichtlich der behaupteten von ihm erlittenen häuslichen Gewalt von einem offensichtlich unrichtig festgestellten Sachverhalt ausgegangen wäre, zeigt er nicht auf; ebenso wenig setzt er sich mit den vorinstanzlichen rechtlichen Erwägungen hierzu auseinander. Schliesslich genügen Hinweise auf ein gewisses Eingelebt-Sein, Berufsausübung und Sprachkurse sowie auf ungünstige wirtschaftliche Perspektiven in Serbien, verbunden mit der Erwähnung von Art. 33 Abs. 2 und Art. 62 lit. d AuG, offensichtlich nicht, um im Zusammenhang mit der Verhältnismässigkeitsprüfung der Vorinstanz eine Rechtsverletzung darzutun. Die Beschwerde enthält offensichtlich keine hinreichende Begründung ( Art. 108 Abs. 1 lit. b BGG ); es ist darauf mit Entscheid des Einzelrichters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