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2C_139/2014 vom 4. Juli 2014</w:t>
      </w:r>
    </w:p>
    <w:p>
      <w:r>
        <w:t>Bundesgericht, 2014-07-04, FR</w:t>
      </w:r>
    </w:p>
    <w:p>
      <w:r>
        <w:rPr>
          <w:b/>
        </w:rPr>
        <w:t xml:space="preserve">Quelle: </w:t>
      </w:r>
      <w:r>
        <w:t>https://mcp.opencaselaw.ch/entscheid/bger_2C_139_2014</w:t>
      </w:r>
    </w:p>
    <w:p>
      <w:r>
        <w:t>FR: TF 2C_139/2014 du 4 juillet 2014</w:t>
      </w:r>
    </w:p>
    <w:p>
      <w:r>
        <w:t>IT: TF 2C_139/2014 del 4 luglio 2014</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sa qualité de ressortissant portugais, le recourant peut prétendre à un titre de séjour en Suisse, en vertu de l'ALCP ( ATF 136 II 177 consid. 1.1 p. 179; 129 II 249 consid. 4 p. 258 ss).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46 al. 1 let . c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w:t>
      </w:r>
    </w:p>
    <w:p>
      <w:r>
        <w:rPr>
          <w:b/>
        </w:rPr>
        <w:t>E. 2</w:t>
      </w:r>
    </w:p>
    <w:p>
      <w:r>
        <w:t>Le recourant se plaint en premier lieu d'un établissement inexact des faits par l'autorité précédente. Il estime que celle-ci n'a pas correctement établi la date de son arrivée en Suisse, n'a pas apprécié à sa juste valeur la modification de sa situation personnelle et professionnelle depuis la commission des dernières infractions et n'a pas pris en compte l'existence de sa fille dans l'examen de la proportionnalité.</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2.2</w:t>
      </w:r>
    </w:p>
    <w:p>
      <w:r>
        <w:t>En l'occurrence, notamment quant à la question relative à la date de son entrée en Suisse, pour laquelle il ne fournit pas de motivation répondant aux exigences de l' art. 106 al. 2 LTF , il faut constater que c'est de manière purement appellatoire que le recourant invoque l'arbitraire dans l'établissement des faits en substituant en réalité son appréciation à celle de l'instance précédente. Son recours, sur ce point, doit être déclaré irrecevable.</w:t>
      </w:r>
    </w:p>
    <w:p>
      <w:r>
        <w:t>Pour le surplus, le recourant s'en prend plutôt à l'appréciation juridique des faits effectuée par l'autorité précédente (en particulier en rapport avec l' art. 8 CEDH ), question sur laquelle il sera revenu ci-dessous.</w:t>
      </w:r>
    </w:p>
    <w:p>
      <w:r>
        <w:rPr>
          <w:b/>
        </w:rPr>
        <w:t>E. 3.1</w:t>
      </w:r>
    </w:p>
    <w:p>
      <w:r>
        <w:t>La loi fédérale du 16 décembre 2005 sur les étrangers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États membres, ainsi qu'entre les Etats membres de l'Association européenne de libre-échange [OLCP; RS 142.203]; arrêt 2C_473/2011 du 17 octobre 2011 consid. 2.1).</w:t>
      </w:r>
    </w:p>
    <w:p>
      <w:r>
        <w:t>Aux termes de l'art. 63 al. 1 LEtr, l'autorisation d'établissement peut être révoquée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135 II 377 consid. 4.2 p. 380 ss).</w:t>
      </w:r>
    </w:p>
    <w:p>
      <w:r>
        <w:rPr>
          <w:b/>
        </w:rPr>
        <w:t>E. 3.2</w:t>
      </w:r>
    </w:p>
    <w:p>
      <w:r>
        <w:t>Comme l'ensemble des droits octroyés par l'ALCP, le droit de demeurer en Suisse ne peut être limité que par des mesures d'ordre ou de sécurité publics, au sens de l' art. 5 al. 1 annexe I ALCP , dont le cadre et les modalités sont définis en particulier par la directive 64/221/CEE de la Communauté européenne du 25 février 1964 pour la coordination des mesures spéciales aux étrangers en matière de déplacement et de séjour justifiées par des raisons d'ordre public, de sécurité publique et de santé publique, ainsi que par la jurisprudence y relative de la Cour de justice des Communautés européennes, devenue la Cour de justice de l'Union européenne (ci-après: la Cour de justice), rendue avant la signature de l'Accord le 21 juin 1999 (cf. art. 5 al. 2 annexe I ALCP en relation avec l' art. 16 al. 2 ALCP ; au sujet de la prise en considération des arrêts de la Cour de justice postérieurs à cette date, cf. ATF 139 II 121 consid. 5.3 p. 125 s. et les références citées).</w:t>
      </w:r>
    </w:p>
    <w:p>
      <w:r>
        <w:t>Conformément à la jurisprudence rendue en rapport avec l' art. 5 annexe I ALCP ,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(cf. ATF 139 II 121 consid. 5.3 p. 125 s. et les références citées), étant précisé que la commission d'infractions qui sont en étroite relation avec la toxicomanie du délinquant peuvent, selon les circonstances, atténuer cette position de principe ( ATF 139 II 121 consid. 5.3 p. 125 s. et les références citées).</w:t>
      </w:r>
    </w:p>
    <w:p>
      <w:r>
        <w:rPr>
          <w:b/>
        </w:rPr>
        <w:t>E. 4.1</w:t>
      </w:r>
    </w:p>
    <w:p>
      <w:r>
        <w:t>Il n'est pas contesté que le recourant remplit, en particulier en rai-son de sa condamnation pénale de 2009 qui lui a valu une peine privative de liberté de quatre ans, les motifs permettant de révoquer son autorisation d'établissement, au sens des art. 63 al. 1 let. b et al. 2, ainsi que 62 let. b LEtr.</w:t>
      </w:r>
    </w:p>
    <w:p>
      <w:r>
        <w:rPr>
          <w:b/>
        </w:rPr>
        <w:t>E. 4.2</w:t>
      </w:r>
    </w:p>
    <w:p>
      <w:r>
        <w:t>Le recourant conteste l'existence d'un risque de récidive. Il estime que sa situation professionnelle et personnelle s'est modifiée depuis 2009 et sa dernière condamnation. Il relève en particulier sa vie de famille et son activité professionnelle à plein temps. Il invoque en outre sa bonne intégration et le fait que la consommation d'héroïne constatée en début 2013 n'était qu'une rechute dans le processus de guérison d'une dépendance.</w:t>
      </w:r>
    </w:p>
    <w:p>
      <w:r>
        <w:rPr>
          <w:b/>
        </w:rPr>
        <w:t>E. 4.3</w:t>
      </w:r>
    </w:p>
    <w:p>
      <w:r>
        <w:t>Arrivé en Suisse à l'âge de 11 ans en 1987, le recourant a été, dès 2002, condamné à huit reprises à des peines privatives de liberté, des peines d'emprisonnement et des peines pécuniaires successives qui, additionnées entre elles, avoisinent les cinq ans. Tant la multiplication des infractions que la durée totale des condamnations pénales confirment la gravité des actes perpétrés par le recourant. Parmi les infractions retenues figurent des infractions qui, selon la jurisprudence du Tribunal fédéral, représentent une atteinte très grave à la sécurité et à l'ordre publics (cf. arrêt 2C_117/2012 du 11 juin 2012 consid. 4.4.2; ATF 137 II 297 consid. 3.3 p. 303). C'est tout spécialement le cas de la condamnation à une peine privative de liberté de quatre ans d'octobre 2009 pour laquelle les juges pénaux avaient retenu la circonstance aggravante du métier ainsi qu'une culpabilité très lourde. Le trafic de drogue dans lequel le recourant était impliqué, faut-il le rappeler, portait sur plus de 2 kg d'héroïne. Si le recourant bénéficiait certes de son trafic pour assouvir sa consommation personnelle, il était bel et bien mû par l'appât du gain. Or, la jurisprudence se montre particulièrement sévère avec les ressortissants étrangers qui se livrent au trafic de drogue par appât du gain (cf. arrêts 2C_655/2011 du 7 février 2012 consid. 10.4; 2C_651/2009 du 1</w:t>
      </w:r>
    </w:p>
    <w:p>
      <w:r>
        <w:t>er mars 2010 consid. 4.3).</w:t>
      </w:r>
    </w:p>
    <w:p>
      <w:r>
        <w:t>Au vu de la gravité et de la fréquence des infractions commises, ainsi que de la longue carrière criminelle affichée par le recourant, il faut procéder à une évaluation spécialement rigoureuse du risque de récidive (cf. arrêt 2C_473/2011 précité, consid. 4.2). Le comportement passé du recourant a été tellement grave qu'il réunit déjà en soi les conditions permettant de retenir une tendance à maintenir ce comportement à l'avenir et, par là même, une menace actuelle pour l'ordre public, de sorte à justifier la limitation de la libre circulation de l'intéressé (cf. arrêt de la Cour de justice des Communautés européennes du 27 octobre 1977 C-30/77</w:t>
      </w:r>
    </w:p>
    <w:p>
      <w:r>
        <w:t>La Reine c/ Bouchereau , Rec. 1977 p. 1999 points 28 à 30; ATF 130 II 176 consid. 3.4.1 p. 182 ss; arrêts 2C_800/2013 du 27 février 2014 consid. 3.3; 2C_1237/2012 du 22 avril 2013 consid. 4.3).</w:t>
      </w:r>
    </w:p>
    <w:p>
      <w:r>
        <w:rPr>
          <w:b/>
        </w:rPr>
        <w:t>E. 4.4</w:t>
      </w:r>
    </w:p>
    <w:p>
      <w:r>
        <w:t>Le Tribunal fédéral s'est déjà prononcé quant au risque de récidive des étrangers criminels en détention ou en liberté conditionnelle. Il a notamment expliqué que la libération conditionnelle au sens de l' art. 86 CP n'est pas décisive pour apprécier la dangerosité pour l'ordre public de celui qui en bénéficie et que la police des étrangers est libre de tirer ses propres conclusions à ce sujet (cf. ATF 130 II 176 consid. 4.3.3 p. 188). Le fait que l'étranger fasse preuve d'un comportement adéquat durant l'exécution de sa peine, y compris après avoir été placé aux arrêts domiciliaires, est généralement attendu de tout délinquant (cf. arrêts 2C_791/2013 du 22 octobre 2013 consid. 5; 2C_401/2012 du 18 septembre 2012 consid. 3.5.4; 2C_562/2011 du 21 novembre 2011 consid. 4.3.1); la vie à l'intérieur d'un établissement pénitentiaire ne saurait être comparée à la vie à l'extérieur, pour ce qui est des possibilités de retomber dans la délinquance (arrêt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(cf. arrêts 2C_139/2013 du 11 juin 2013 consid. 7.1; 2C_562/2011 précité, consid. 4.3.1).</w:t>
      </w:r>
    </w:p>
    <w:p>
      <w:r>
        <w:rPr>
          <w:b/>
        </w:rPr>
        <w:t>E. 4.5</w:t>
      </w:r>
    </w:p>
    <w:p>
      <w:r>
        <w:t>Le recourant a été condamné, par jugement du 9 octobre 2009, à une peine privative de liberté de quatre ans. Cette peine a été suspendue en faveur d'une mesure thérapeutique institutionnelle pour le traitement de son addiction à l'héroïne, conformément aux art. 57 al. 1 et 2 et 60 CP . Une telle mesure est ordonnée en particulier dès qu'il est à prévoir que le traitement détournera l'auteur d'autres infractions en relation avec son addiction ( art. 60 al. 1 let. b CP ). Elle suppose que l'auteur présente une dangerosité telle qu'il est fortement à craindre qu'il commette de nouvelles infractions (cf. Viredaz/Thalmann, Introduction au droit des sanctions, 2013, n° 252 p. 102). Elle ne remplace cependant pas la peine, mais est prononcée en plus de celle-ci (cf. art. 57 al. 1 CP ; Andrea Baechtold, Exécution des peines, 2008, n° 1 p. 282; Marianne Heer, in Basler Kommentar, Strafrecht I, 3</w:t>
      </w:r>
    </w:p>
    <w:p>
      <w:r>
        <w:t>e éd. 2013, n° 1 ad art. 57 CP ). La durée de la privation de liberté entraînée par l'exécution de la mesure est imputée sur la durée de la peine ( art. 57 al. 3 CP ). Cela a pour conséquence que, si la durée de la privation de liberté entraînée par la mesure est inférieure à celle de la peine privative de liberté suspendue, le reste de la peine est exécuté ( art. 62c al. 2 CP ).</w:t>
      </w:r>
    </w:p>
    <w:p>
      <w:r>
        <w:t>Partant, le recourant, dès sa mise en détention provisoire, était sous surveillance étroite des autorités et cela durant quatre ans, soit jusqu'en 2013 (détention provisoire, puis suivi institutionnel et ambulatoire). Il n'y a dès lors pas de raison de le traiter différemment d'un étranger qui serait en exécution de peine " ordinaire ", respectivement en liberté conditionnelle. Par conséquent, les développements qui précèdent s'appliquent aussi au cas du recourant (cf. consid. 3.3.2 ci-dessus), si bien qu'on ne peut tirer de conclusion (ni en sa faveur, ni en sa défaveur) du fait qu'il n'ait pas été à nouveau condamné depuis 2009. Que le recourant, comme il l'affirme, se soit bien comporté depuis cette période, qu'il se soit prétendument intégré et qu'il ait depuis peu un emploi n'est pas à ce point déterminant pour contrebalancer son comportement passé. Au contraire, étant en exécution de peine, un comportement adéquat était attendu de lui. Or, le fait qu'il ait, au moins à une reprise, continué sa consommation d'héroïne démontre que son traitement n'est pas encore arrivé à son terme et qu'il est à craindre qu'il commette de nouvelles infractions. En outre, en ayant fait l'objet de poursuites pour un montant de 100'000 fr., le recourant ne démontre pas un comportement qui plaide en faveur d'une intégration réussie et d'une facilité à se conformer aux règles.</w:t>
      </w:r>
    </w:p>
    <w:p>
      <w:r>
        <w:rPr>
          <w:b/>
        </w:rPr>
        <w:t>E. 4.6</w:t>
      </w:r>
    </w:p>
    <w:p>
      <w:r>
        <w:t>L'arrêt querellé consacre une appréciation conforme à l'art. 63 al. 1 LEtr et à la pratique relative à l' art. 5 al. 1 annexe I ALCP du risque actuel pour l'ordre public suisse que représente le recourant. Compte tenu de la gravité et de la fréquence des infractions commises, ainsi que des circonstances précitées, ce risque de récidive doit en effet être considéré comme restant très important et d'actualité.</w:t>
      </w:r>
    </w:p>
    <w:p>
      <w:r>
        <w:rPr>
          <w:b/>
        </w:rPr>
        <w:t>E. 5</w:t>
      </w:r>
    </w:p>
    <w:p>
      <w:r>
        <w:t>Reste la proportionnalité de la mesure de révocation. Le recourant invoque à ce propos les art. 8 CEDH et 96 LEtr. Il faut ici mentionner que l'examen sous l'angle de l' art. 8 par. 2 CEDH se confond avec celui imposé par l'art. 96 LEtr (arrêt 2C_1125/2012 du 5 novembre 2013 consid. 3.1).</w:t>
      </w:r>
    </w:p>
    <w:p>
      <w:r>
        <w:rPr>
          <w:b/>
        </w:rPr>
        <w:t>E. 5.1</w:t>
      </w:r>
    </w:p>
    <w:p>
      <w:r>
        <w:t>L' 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rPr>
          <w:b/>
        </w:rPr>
        <w:t>E. 5.2</w:t>
      </w:r>
    </w:p>
    <w:p>
      <w:r>
        <w:t>Le Tribunal cantonal a pris en considération tous les éléments imposés par la jurisprudence du Tribunal fédéral et de la Cour européenne des droits de l'homme pour procéder à la pesée des intérêts. Ainsi en va-t-il en particulier de la gravité des actes pénaux, de l'âge d'arrivée en Suisse, de la durée et de la qualité du séjour légal en Suisse, des conséquences pour l'intéressé, son épouse et son fils d'un départ de Suisse et des possibilités d'intégration à l'étranger, du fait que le mariage ait eu lieu après la commission des infractions, respectivement des condamnations et que la conjointe les ait connues au moment de s'engager ou encore de la possibilité des époux de conserver des liens en dépit de l'éloignement. Intégrant l'ensemble de ces circonstances, le Tribunal cantonal a retenu à juste titre que l'intérêt public à maintenir éloigné le recourant de la Suisse l'emportait sur l'intérêt privé de celui-ci et de son épouse à pouvoir y vivre ensemble. Le résultat de la pesée des intérêts ainsi effectué est correct et il suffit de renvoyer sur ce point à l'arrêt attaqué ( art. 109 al. 3 LTF ).</w:t>
      </w:r>
    </w:p>
    <w:p>
      <w:r>
        <w:t>Par ailleurs, même si le Tribunal cantonal n'a effectivement pas tenu compte de la relation du recourant avec sa fille née en 2002 dans la pesée des intérêts, cela ne change rien à l'issue du litige. En effet, il faut constater, comme l'a fait le Tribunal cantonal pour les rapports du recourant avec sa femme et son fils, que A.________ n'a pas d'interdiction d'entrée en Suisse et qu'il lui sera possible de venir régulièrement rendre visite aussi à sa fille. Il n'est pas non plus exclu que celle-ci aille, accompagnée de sa mère puis plus tard seule, rejoindre son père au Portugal pour des vacances ou, le cas échéant, pour y vivre.</w:t>
      </w:r>
    </w:p>
    <w:p>
      <w:r>
        <w:rPr>
          <w:b/>
        </w:rPr>
        <w:t>E. 6</w:t>
      </w:r>
    </w:p>
    <w:p>
      <w:r>
        <w:t>Les considérants qui précèdent conduisent au rejet du recours, dans dans la mesure où il est recevable. Succombant, le recourant doit ainsi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