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138/2021 vom 2. März 2021</w:t>
      </w:r>
    </w:p>
    <w:p>
      <w:r>
        <w:t>Bundesgericht, 2021-03-02, DE</w:t>
      </w:r>
    </w:p>
    <w:p>
      <w:r>
        <w:rPr>
          <w:b/>
        </w:rPr>
        <w:t xml:space="preserve">Quelle: </w:t>
      </w:r>
      <w:r>
        <w:t>https://mcp.opencaselaw.ch/entscheid/bger_2C_138_2021</w:t>
      </w:r>
    </w:p>
    <w:p>
      <w:r>
        <w:t>FR: TF 2C 138/2021 du 2 mars 2021</w:t>
      </w:r>
    </w:p>
    <w:p>
      <w:r>
        <w:t>IT: TF 2C 138/2021 del 2 marzo 2021</w:t>
      </w:r>
    </w:p>
    <w:p>
      <w:pPr>
        <w:pStyle w:val="Heading2"/>
      </w:pPr>
      <w:r>
        <w:t>Regeste</w:t>
      </w:r>
    </w:p>
    <w:p>
      <w:r>
        <w:t>Epidemiengesetz, Verordnung [des Regierungsrats des Kantons Bern] über Massnahmen zur Bekämpfung der COVID-19-Epidemie vom 4. November 2020 | Gesundheitswesen &amp; soziale Sicherheit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A.A.________ und B.A.________ haben am 7. Februar 2021 gegen die Abänderung vom 3. Februar 2021 der Verordnung vom 4. November 2020 über Massnahmen zur Bekämpfung der COVID-19-Epidemie des Kantons Bern bei dessen Bildungs- und Kulturdirektion Beschwerde eingereicht. Mit der Änderung wurde ab dem 10. Februar 2021 die Maskentragpflicht auf Schülerinnen und Schüler im fünften und sechsten Schuljahr der Primarstufe ausgedehnt. Die Bildungs- und Kulturdirektion des Kantons Bern übermittelte die Eingabe am 9. Februar 2021 an das Bundesgericht, da im Kanton Bern gegen kantonale Erlasse kein Rechtsmittel offenstehe.</w:t>
      </w:r>
    </w:p>
    <w:p>
      <w:r>
        <w:rPr>
          <w:b/>
        </w:rPr>
        <w:t>E. 2.1</w:t>
      </w:r>
    </w:p>
    <w:p>
      <w:r>
        <w:t>Mit Schreiben vom 12. Februar 2021 machte die Bundesgerichtskanzlei A.A.________ und B.A.________ darauf aufmerksam, dass ihre Beschwerdebegründung allenfalls nicht den gesetzlichen Anforderungen genüge, sie jedoch noch Gelegenheit hätten, ihre Eingabe bis zum Ablauf der Beschwerdefrist zu verbessern. A.A.________ und B.A.________ teilten dem Bundesgericht am 25. Februar 2021 mit, dass sie ihre Eingabe zurückzögen.</w:t>
      </w:r>
    </w:p>
    <w:p>
      <w:r>
        <w:rPr>
          <w:b/>
        </w:rPr>
        <w:t>E. 2.2</w:t>
      </w:r>
    </w:p>
    <w:p>
      <w:r>
        <w:t>Gemäss Art. 32 Abs. 2 BGG entscheidet der Instruktionsrichter (hier der Präsident) als Einzelrichter über die Abschreibung von Verfahren infolge Rückzugs. Er befindet dabei auch über die Gerichtskosten und die Parteientschädigungen ( Art. 5 Abs. 2 BZP i.V.m. Art. 71 BGG ). Die Beschwerdeführer haben ihre Eingabe bedingungslos zurückgezogen, womit das Verfahren abzuschreiben ist. Es rechtfertigt sich, keine Kosten zu erheben ( Art. 66 Abs. 1 2 . Satz BGG) und keine Parteientschädigungen zuzusprechen (vgl. Art 68 Abs. 1 und 3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