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2C_136/2013 vom 30. Oktober 2013</w:t>
      </w:r>
    </w:p>
    <w:p>
      <w:r>
        <w:t>Bundesgericht, 2013-10-30, DE</w:t>
      </w:r>
    </w:p>
    <w:p>
      <w:r>
        <w:rPr>
          <w:b/>
        </w:rPr>
        <w:t xml:space="preserve">Quelle: </w:t>
      </w:r>
      <w:r>
        <w:t>https://mcp.opencaselaw.ch/entscheid/bger_2C_136_2013</w:t>
      </w:r>
    </w:p>
    <w:p>
      <w:r>
        <w:t>FR: TF 2C_136/2013 du 30 octobre 2013</w:t>
      </w:r>
    </w:p>
    <w:p>
      <w:r>
        <w:t>IT: TF 2C_136/2013 del 30 ottobre 2013</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und der Beschwerdeführer ist hierzu legitimiert ( Art. 89 Abs. 1 BGG ).</w:t>
      </w:r>
    </w:p>
    <w:p>
      <w:r>
        <w:rPr>
          <w:b/>
        </w:rPr>
        <w:t>E. 1.2</w:t>
      </w:r>
    </w:p>
    <w:p>
      <w:r>
        <w:t>Den Streitgegenstand, welcher durch die angefochtene Verfügung bestimmt, aber auch begrenzt wird (vgl. FRITZ GYGI, Bundesverwaltungsrechtspflege, 2. Auflage, Bern 1983, S. 45), bildet einzig der Widerruf der Niederlassungsbewilligung. Indessen liegt hier eine besondere Konstellation vor, indem die Vorinstanz die Angelegenheit an das kantonale Amt für Migration und Personenstand überwiesen hat, damit dieses - wegen allenfalls vorhandenen Vollzugshindernissen - beim Bundesamt für Migration die Einleitung des Verfahrens auf vorläufige Aufnahme des Beschwerdeführers "veranlasse". Anders als im Normalfall, wo der Widerruf einer Anwesenheitsbewilligung mit der Wegweisung des Ausländers kombiniert wird (Art. 64 Abs. 1 AuG), führt der angefochtene Entscheid daher (noch) nicht zur effektiven Wegweisung des Beschwerdeführers aus der Schweiz. Gegen den kantonalen Wegweisungsentscheid bzw. gegen das Verneinen von Vollzugshindernissen stehen gegebenenfalls Rechtsmittel offen (vgl. BGE 137 II 305 E. 3.3 S. 310). Soweit der Beschwerdeführer hier mit drohender Blutrache im Kosovo argumentiert, geht dies deshalb am Streitgegenstand vorbei.</w:t>
      </w:r>
    </w:p>
    <w:p>
      <w:r>
        <w:rPr>
          <w:b/>
        </w:rPr>
        <w:t>E. 1.3</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berichtigen oder ergänzen, wenn sie offensichtlich unrichtig, d.h.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2</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w:t>
      </w:r>
    </w:p>
    <w:p>
      <w:r>
        <w:t>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w:t>
      </w:r>
    </w:p>
    <w:p>
      <w:r>
        <w:t>Mit der Verurteilung des Beschwerdeführers zu einer Freiheitsstrafe von viereinhalb Jahren ist der Widerrufsgrund von Art. 63 Abs. 1 lit. a i.V.m. Art. 62 lit. b AuG ohne Weiteres erfüllt. Der Beschwerdeführer stellt dies denn auch nicht in Abrede. Er rügt aber die Verletzung von Verfahrensgarantien und macht geltend, der Widerruf der Niederlassungsbewilligung erweise sich als unverhältnismässig.</w:t>
      </w:r>
    </w:p>
    <w:p>
      <w:r>
        <w:rPr>
          <w:b/>
        </w:rPr>
        <w:t>E. 3.1</w:t>
      </w:r>
    </w:p>
    <w:p>
      <w:r>
        <w:t>Vorab rügt er eine Verletzung seines Anspruchs auf rechtliches Gehör, da die Vorinstanz - entgegen seinem ausdrücklichen Antrag - darauf verzichtet habe, ihn bzw. seine Ehefrau, seine beiden Brüder sowie andere Personen persönlich einzuvernehmen. Er beruft sich auf einen Anspruch auf eine öffentliche Verhandlung aus Art. Ziff. 6 Abs. 1 EMRK sowie auf Art. 29 Abs. 2 BV .</w:t>
      </w:r>
    </w:p>
    <w:p>
      <w:r>
        <w:rPr>
          <w:b/>
        </w:rPr>
        <w:t>E. 3.2</w:t>
      </w:r>
    </w:p>
    <w:p>
      <w:r>
        <w:t>Nach Art. 6 Ziff. 1 EMRK hat jede Person ein Recht darauf, dass über Streitigkeiten in Bezug auf ihre zivilrechtlichen Ansprüche und Verpflichtungen oder über eine gegen sie erhobene strafrechtliche Anklage von einem unabhängigen und unparteiischen, auf dem Gesetz beruhenden Gericht in einem fairen Verfahren, öffentlich und innerhalb angemessener Frist verhandelt wird.</w:t>
      </w:r>
    </w:p>
    <w:p>
      <w:r>
        <w:t>Anders als in sozialversicherungsrechtlichen Angelegenheiten - auf welche sich der Beschwerdeführer beruft - steht ein Entscheid über den Aufenthalt eines Ausländers in einem Land oder dessen Wegweisung nach ständiger Rechtsprechung aber ausserhalb des Anwendungsbereiches von Art. 6 Ziff. 1 EMRK ; ein solcher Entscheid betrifft weder einen zivilrechtlichen Anspruch noch eine strafrechtliche Anklage im Sinne der genannten Konventionsbestimmung (vgl. BGE 137 I 128 E. 4.4 mit zahlreichen Hinweisen auf die Rechtsprechung des EGMR). Es geht in solchen Fällen auch nicht um Verfahren um Erteilung einer Arbeitsbewilligung, welche vom Anwendungsbereich von Art. 6 Ziff. 1 EMRK dann erfasst werden, wenn nach der innerstaatlichen Gesetzgebung ein subjektiver Anspruch auf eine solche Bewilligung besteht (vgl. Urteil 2D_16/2013 vom 8. Juli 2013 E. 3.2 mit Hinweis auf die EGMR-Urteile</w:t>
      </w:r>
    </w:p>
    <w:p>
      <w:r>
        <w:t>Koottummel ca. Österreich vom 10. Dezember 2009 und</w:t>
      </w:r>
    </w:p>
    <w:p>
      <w:r>
        <w:t>Jurisic ca. Österreich vom 27. Juli 2006).</w:t>
      </w:r>
    </w:p>
    <w:p>
      <w:r>
        <w:t>Aus Art. 6 Ziff. 1 EMRK kann der Beschwerdeführer mithin nichts zu seinen Gunsten ableiten.</w:t>
      </w:r>
    </w:p>
    <w:p>
      <w:r>
        <w:rPr>
          <w:b/>
        </w:rPr>
        <w:t>E. 3.3</w:t>
      </w:r>
    </w:p>
    <w:p>
      <w:r>
        <w:t>Art. 29 Abs. 2 BV vermittelt sodann nicht zwingend das Recht, mündlich angehört zu werden. Eine mündliche Äusserungsmöglichkeit kann zwar geboten sein wegen persönlicher Umstände, die sich nur aufgrund einer mündlichen Anhörung klären lassen (vgl. Gerold Steinmann, in: Kommentar BV, 2. Auflage 2008, Rz. 25 zu Art. 29 Abs. 2 BV ) bzw. wenn sich eine solche Anhörung für den zu fällenden Entscheid als unerlässlich erweist ( BGE 122 II 464 E. 4 S. 469 f.). Ein solcher Fall liegt aber hier nicht vor: Der Beschwerdeführer hatte in den dem Verwaltungsgericht vorangegangenen Verfahren regelmässig Gelegenheit, seinen Standpunkt einzubringen. Das Verwaltungsgericht hat zudem die Umstände, die gemäss den Vorbringen des Beschwerdeführers anzuhören gewesen wären, im angefochtenen Urteil berücksichtigt, so dass es ohne Gehörsverletzung im Rahmen einer zulässigen antizipierten Beweiswürdigung (vgl. BGE 134 I 140 E. 5.3 S. 148 ; 131 I 153 E. 3 S. 157) auf die Abnahme der entsprechenden Beweise (persönliche Anhörung des Beschwerdeführers selber sowie die beantragten Zeugeneinvernahmen) verzichten konnte.</w:t>
      </w:r>
    </w:p>
    <w:p>
      <w:r>
        <w:rPr>
          <w:b/>
        </w:rPr>
        <w:t>E. 4.1</w:t>
      </w:r>
    </w:p>
    <w:p>
      <w:r>
        <w:t>Weiter beruft sich der Beschwerdeführer auf das Verwertungsverbot von Art. 369 StGB . Er macht geltend, die aus dem Strafregister entfernten Urteile aus den Jahren 1983, 1987 und 1993 dürften für einen Widerruf der Niederlassungsbewilligung nicht zu seinen Lasten berücksichtigt werden.</w:t>
      </w:r>
    </w:p>
    <w:p>
      <w:r>
        <w:rPr>
          <w:b/>
        </w:rPr>
        <w:t>E. 4.2</w:t>
      </w:r>
    </w:p>
    <w:p>
      <w:r>
        <w:t>Zwar trifft zu, dass nach Art. 369 Abs. 7 StGB (in der seit 1. Januar 2007 in Kraft stehenden Fassung) aus dem Strafregister entfernte Urteile dem Betroffenen nicht mehr entgegengehalten werden dürfen. An diese Urteile dürfen somit generell keine Rechtsfolgen mehr geknüpft werden (vgl. BGE 135 I 71 E. 2.10 mit Hinweisen). Im Bereich der ausländerrechtlichen Interessenabwägung ist aber das Verwertungsverbot gemäss Art. 369 Abs. 7 StGB insofern zu relativieren, als es den Migrationsbehörden nicht verwehrt ist, strafrechtlich relevante Daten, die sich in ihren Akten befinden oder ihnen anderweitig bekannt sind bzw. werden, namentlich solche, die Anlass zu einer fremdenpolizeilichen Verwarnung gaben, nach deren Löschung im Strafregister in die Beurteilung des Verhaltens des Ausländers während seiner gesamten Anwesenheit in der Schweiz einzubeziehen (vgl. Urteile 2C_711/2011 vom 27. März 2012 E. 5. 2 mit Hinweisen, sowie 2C_477/2008 vom 24. Februar 2009, E. 3.2.2).</w:t>
      </w:r>
    </w:p>
    <w:p>
      <w:r>
        <w:t>Zwar mag ebenfalls zutreffen, dass die vom Beschwerdeführer zitierten früheren Urteile nicht zu einer fremdenpolizeilichen Verwarnung geführt haben. Doch überzeugt die vorinstanzliche Überlegung, wonach - zumal nach der Rechtsprechung eine lange Aufenthaltsdauer im Rahmen der Verhältnismässigkeitsprüfung migrationsrechtlicher Massnahmen in der Regel zu Gunsten eines weiteren Verbleibs des Betroffenen spricht (vgl. vorne E. 2) - auch eine Beurteilung darüber möglich sein muss, ob während dieser langen Dauer ein rechtskonformes Verhalten vorlag, ansonsten ein verzerrtes Bild entstünde (E. 4.3.1 des angefochtenen Entscheides).</w:t>
      </w:r>
    </w:p>
    <w:p>
      <w:r>
        <w:t>Dass die Vorinstanz die in früheren Jahren begangenen Verfehlungen des Beschwerdeführers (mit-) berücksichtigt und daraus auf dessen "nicht unerhebliche Uneinsichtigkeit" und "insbesondere" auf dessen "beträchtliche allgemeine Gewaltbereitschaft" geschlossen hat, ist demnach nicht zu beanstanden.</w:t>
      </w:r>
    </w:p>
    <w:p>
      <w:r>
        <w:rPr>
          <w:b/>
        </w:rPr>
        <w:t>E. 4.3</w:t>
      </w:r>
    </w:p>
    <w:p>
      <w:r>
        <w:t>Aus dem Umstand, dass das erstinstanzliche Strafgericht den Beschwerdeführer noch vom Vorwurf der vorsätzlichen Tötung freigesprochen hat (vgl. vorne lit. B), kann dieser aus migrationsrechtlicher Sicht ebenfalls nichts zu seinen Gunsten ableiten. Entscheidend ist das rechtskräftige Urteil des Obergerichts vom 12. Februar 2009, welches höchstrichterlich bestätigt wurde und welches auf einen massiven Notwehrexzess erkannt hat. Die Notwehrsituation war dabei bereits im Rahmen der Strafzumessung berücksichtigt worden.</w:t>
      </w:r>
    </w:p>
    <w:p>
      <w:r>
        <w:rPr>
          <w:b/>
        </w:rPr>
        <w:t>E. 5</w:t>
      </w:r>
    </w:p>
    <w:p>
      <w:r>
        <w:t>Mit der Rückfallgefahr des Beschwerdeführes hat sich die Vorinstanz eingehend auseinandergesetzt. Ihre Ausführungen, wonach bei schweren Straftaten, insbesondere bei Gewalt-, Sexual-, und schweren Betäubungsmitteldelikten angesichts der von diesen Delikten ausgehenden potentiellen Gefahr für die Gesellschaft ausländerrechtlich selbst ein geringes Rückfallrisiko nicht hingenommen werden muss, entsprechen ständiger bundesgerichtlicher Rechtsprechung. Gemäss dem vom Verwaltungsgericht mitberücksichtigten ergänzenden Führungsbericht der Anstalten Witzwil vom 3. Januar 2012 war der Beschwerdeführer stets sehr bemüht, sich unter Kontrolle zu halten, was für die Verantwortlichen des Strafvollzugs unnatürlich gewirkt hatte, zumal sonst schon kleine Abweichungen in Alltagssituationen beim Beschwerdeführer nicht nachvollziehbare Reaktionen auslösten und er dabei "sehr bestimmt" und "teils aufbrausend" reagierte. Dass die Vorinstanz unter diesen Umständen die Auffassung der Polizei- und Militärdirektion, beim Beschwerdeführer bestehe eine ausländerrechtlich nicht zu tolerierende Rückfallgefahr, geschützt hat, ist nicht bundesrechtswidrig.</w:t>
      </w:r>
    </w:p>
    <w:p>
      <w:r>
        <w:rPr>
          <w:b/>
        </w:rPr>
        <w:t>E. 6</w:t>
      </w:r>
    </w:p>
    <w:p>
      <w:r>
        <w:t>Dies gilt auch für die übrige Interessenabwägung, welche von der Vorinstanz umfassend und sorgfältig vorgenommen worden ist. Das Verwaltungsgericht hat insbesondere nicht übersehen, dass der Widerruf der Niederlassungsbewilligung die Trennung des Beschwerdeführers von seiner schweizerischen Ehefrau und seinem heute elfjährigen Sohn zur Folge haben könnte. Angesichts dessen, dass die Ehefrau und auch der Sohn hier ein gefestigtes Anwesenheitsrecht besitzen und deshalb eine Betreuung des minderjährigen Sohnes durch mindestens einen Elternteil jedenfalls gewährleistet bleibt, erscheint es auch mit Blick auf die Garantie auf Achtung des Familienlebens ( Art. 8 EMRK , Art. 13 BV ) aber nicht unzulässig, dem Beschwerdeführer die Niederlassungsbewilligung zu widerrufen, zumal in diesem Zusammenhang auch der Wertung von Art. 121 Abs. 3 BV Rechnung zu tragen ist (vgl. BGE 139 I 31 E. 2.3.2 S. 34). Selbst seine Familie hat ihn nicht von der schweren Straffälligkeit abhalten können; und er hat mit seinem Verhalten die Beeinträchtigung seiner familiären Beziehungen selber in Kauf genommen. Sodann ist die Aufrechterhaltung des Kontaktes zwischen Vater und Sohn -etwa besuchsweise - auch von der Heimat des Beschwerdeführers aus möglich.</w:t>
      </w:r>
    </w:p>
    <w:p>
      <w:r>
        <w:rPr>
          <w:b/>
        </w:rPr>
        <w:t>E. 7</w:t>
      </w:r>
    </w:p>
    <w:p>
      <w:r>
        <w:t>Die Beschwerde erweist sich nach dem Gesagten als unbegründet und ist abzuweisen.</w:t>
      </w:r>
    </w:p>
    <w:p>
      <w:r>
        <w:t>Bei diesem Ausgang sind die Gerichtskosten dem Beschwerdeführer aufzuerlegen (Art. 65/66 BGG).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