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133/2013 vom 13. September 2013</w:t>
      </w:r>
    </w:p>
    <w:p>
      <w:r>
        <w:t>Bundesgericht, 2013-09-13, DE</w:t>
      </w:r>
    </w:p>
    <w:p>
      <w:r>
        <w:rPr>
          <w:b/>
        </w:rPr>
        <w:t xml:space="preserve">Quelle: </w:t>
      </w:r>
      <w:r>
        <w:t>https://mcp.opencaselaw.ch/entscheid/bger_2C_133_2013</w:t>
      </w:r>
    </w:p>
    <w:p>
      <w:r>
        <w:t>FR: TF 2C 133/2013 du 13 septembre 2013</w:t>
      </w:r>
    </w:p>
    <w:p>
      <w:r>
        <w:t>IT: TF 2C 133/2013 del 13 settembre 2013</w:t>
      </w:r>
    </w:p>
    <w:p>
      <w:pPr>
        <w:pStyle w:val="Heading2"/>
      </w:pPr>
      <w:r>
        <w:t>Regeste</w:t>
      </w:r>
    </w:p>
    <w:p>
      <w:r>
        <w:t>Nichtverlängerung Aufenthaltsbewilligung und Wegweisung | Bürgerrecht und Ausländerrecht</w:t>
      </w:r>
    </w:p>
    <w:p>
      <w:pPr>
        <w:pStyle w:val="Heading2"/>
      </w:pPr>
      <w:r>
        <w:t>Erwägungen</w:t>
      </w:r>
    </w:p>
    <w:p>
      <w:r>
        <w:rPr>
          <w:b/>
        </w:rPr>
        <w:t>E. 1.1</w:t>
      </w:r>
    </w:p>
    <w:p>
      <w:r>
        <w:t>Der Beschwerdeführer beruft sich auf Art. 50 AuG (SR 142.20), Art. 8 EMRK sowie Art. 13 BV und macht in vertretbarer Weise einen Bewilligungsanspruch geltend, sodass die Beschwerde in öffentlich-rechtlichen Angelegenheiten gegen den kantonal letztinstanzlichen Endentscheid zulässig ist (Art. 82 lit. a, Art. 83 lit. c Ziff. 2 [e contrario], Art. 86 Abs. 1 lit. d und Art. 90 BGG ). Ob der Anspruch tatsächlich besteht, ist Sache der materiellen Beurteilung ( BGE 136 II 177 E. 1.1 S. 179). Der Beschwerdeführer ist zur Beschwerde legitimiert ( Art. 89 Abs. 1 BGG ).</w:t>
      </w:r>
    </w:p>
    <w:p>
      <w:r>
        <w:rPr>
          <w:b/>
        </w:rPr>
        <w:t>E. 1.2</w:t>
      </w:r>
    </w:p>
    <w:p>
      <w:r>
        <w:t>Mit der Beschwerde kann eine Rechtsverletzung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138 III 537 E. 2.2 S. 540; 137 III 385 E. 3 S. 386; 133 III 545 E. 2.2 S. 550; Urteil 2C_1151/2012 vom 3. Juni 2013 E. 1.3, zur Publikation vorgesehen). Trotz der Rechtsanwendung von Amtes wegen prüft das Bundesgericht,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2.1</w:t>
      </w:r>
    </w:p>
    <w:p>
      <w:r>
        <w:t>Ausländische Ehegatten von Schweizerinnen und Schweizern haben Anspruch auf Erteilung und Verlängerung der Aufenthaltsbewilligung, wenn sie mit diesen zusammenwohnen (Art. 42 Abs. 1 AuG). Gemäss Art. 50 Abs. 1 AuG besteht nach Auflösung der Ehe der Anspruch des ausländischen Ehegatten auf Erteilung und Verlängerung der Aufenthaltsbewilligung nach Art. 42 AuG fort, wenn die Ehegemeinschaft mindestens drei Jahre bestanden hat und eine erfolgreiche Integration besteht (lit. a) oder wenn wichtige persönliche Gründe einen weiteren Aufenthalt in der Schweiz erforderlich machen (lit. b). Die Ansprüche nach Art. 50 AuG erlöschen namentlich beim Vorliegen von Widerrufsgründen nach Art. 62 AuG, soweit die Verweigerung bzw. der Widerruf der Aufenthaltsbewilligung verhältnismässig ist (Art. 51 Abs. 2 lit. b i.V.m. Art. 62 i.V.m. Art. 96 AuG; BGE 135 II 377 E. 4.3 S. 381 f.).</w:t>
      </w:r>
    </w:p>
    <w:p>
      <w:r>
        <w:rPr>
          <w:b/>
        </w:rPr>
        <w:t>E. 2.2.1</w:t>
      </w:r>
    </w:p>
    <w:p>
      <w:r>
        <w:t>Die Vorinstanz hat festgestellt, dass die Ehegemeinschaft erst nach Ablauf der Dreijahresfrist am 19. Mai 2011 aufgelöst worden sei. Zwar habe die Ehefrau die Migrationsbehörden am 19. Mai 2011 über die Trennung informiert und die Eheleute hätten sieben Tage später, am 26. Mai 2011, die Ehescheidungskonvention unterzeichnet. Doch liessen diese Umstände angesichts der widersprüchlichen Angaben des Beschwerdeführers und seiner vormaligen Ehefrau keine verlässliche Aussage darüber zu, ob die Ehe bereits vor dem 19. Mai 2011 nicht mehr gelebt worden sei.</w:t>
      </w:r>
    </w:p>
    <w:p>
      <w:r>
        <w:rPr>
          <w:b/>
        </w:rPr>
        <w:t>E. 2.2.2</w:t>
      </w:r>
    </w:p>
    <w:p>
      <w:r>
        <w:t>Eine (relevante) Ehegemeinschaft nach Art. 50 Abs. 1 lit. a AuG liegt solange vor, als die eheliche Beziehung tatsächlich gelebt wird und ein gegenseitiger Ehewille besteht ( BGE 138 II 229 E. 2 S. 231; 137 II 345 E. 3.1.2 S. 347). Im Regelfall ist auf die Dauer der nach aussen wahrnehmbaren ehelichen Wohngemeinschaft abzustellen (vgl. Art. 42 Abs. 1 bzw. Art. 43 Abs. 1 AuG und Art. 49 AuG). Davon ist namentlich dann abzuweichen, wenn aufgrund der besonderen Umstände des Einzelfalls davon auszugehen ist, dass nur mehr eine faktische Wohngemeinschaft vorliegt, d.h. die eheliche Beziehung trotz eines (fortdauernden) gemeinsamen Wohnsitzes nicht mehr gelebt wird und der Ehewille erloschen ist (vgl. z.B. Urteile 2C_690/2012 vom 15. Februar 2013 E. 3.2; 2C_366/2012 vom 1. Mai 2012 E. 2.2; 2C_786/2011 vom 23. Dezember 2011 E. 2.3; 2C_531/2011 vom 19. Dezember 2011 E. 2.3; 2C_904/2010 vom 27. April 2011 E. 2.3.1; 2C_544/2010 vom 23. Dezember 2010 E. 2.2).</w:t>
      </w:r>
    </w:p>
    <w:p>
      <w:r>
        <w:rPr>
          <w:b/>
        </w:rPr>
        <w:t>E. 2.2.3</w:t>
      </w:r>
    </w:p>
    <w:p>
      <w:r>
        <w:t>Es kann offenbleiben, ob aufgrund der geschilderten Umstände eine andere Beweiswürdigung nicht ebenfalls vertretbar wäre oder gar zutreffender erscheint (vgl. BGE 138 I 305 E. 4.3 S. 319 mit Hinweis). Die vorinstanzliche Sachverhaltsfeststellung ist jedenfalls nicht im Ergebnis offensichtlich unrichtig bzw. willkürlich und deshalb für das Bundesgericht verbindlich ( Art. 105 Abs. 2 BGG ).</w:t>
      </w:r>
    </w:p>
    <w:p>
      <w:r>
        <w:rPr>
          <w:b/>
        </w:rPr>
        <w:t>E. 2.3.1</w:t>
      </w:r>
    </w:p>
    <w:p>
      <w:r>
        <w:t>Darüber hinaus hat die Vorinstanz eine "erfolgreiche Integration" im Sinne von Art. 50 Abs. 1 lit. a AuG bejaht. Der Beschwerdeführer beherrsche die deutsche Sprache gut und sei sozial integriert. Auch sei beim Beschwerdeführer ein Bemühen um die wirtschaftliche Integration erkennbar.</w:t>
      </w:r>
    </w:p>
    <w:p>
      <w:r>
        <w:rPr>
          <w:b/>
        </w:rPr>
        <w:t>E. 2.3.2</w:t>
      </w:r>
    </w:p>
    <w:p>
      <w:r>
        <w:t>Erfolgreich ist integriert, wer namentlich die rechtsstaatliche Ordnung und die Werte der Bundesverfassung respektiert und den Willen zur Teilnahme am Wirtschaftsleben und zum Erwerb der am Wohnort gesprochenen Landessprache bekundet (Art. 77 Abs. 4 der Verordnung vom 24. Oktober 2007 über Zulassung, Aufenthalt und Erwerbstätigkeit [VZAE; SR 142.201]; vgl. ferner Art. 4 der Verordnung vom 24. Oktober 2007 über die Integration von Ausländerinnen und Ausländern [VIntA; SR 142.205] ). Angesichts der Straffälligkeit des Beschwerdeführers und seines unaufrichtigen Verhaltens gegenüber den Schweizer Behörden liegt keine erfolgreiche Integration vor (vgl. z.B. Urteile 2C_413/2013 vom 28. Juni 2013 E. 2.2; 2C_828/2012 vom 26. März 2013 E. 2.2; 2C_331/2012 vom 29. Oktober 2012 E. 2.3; 2C_668/2011 vom 23. Juli 2012 E. 3.2.2). Der Beschwerdeführer hat durch sein Verhalten zum Ausdruck gebracht, dass er die rechtsstaatliche Ordnung nicht akzeptiert.</w:t>
      </w:r>
    </w:p>
    <w:p>
      <w:r>
        <w:rPr>
          <w:b/>
        </w:rPr>
        <w:t>E. 2.4.1</w:t>
      </w:r>
    </w:p>
    <w:p>
      <w:r>
        <w:t>Der Beschwerdeführer hat denn auch Widerrufsgründe nach Art. 62 AuG gesetzt. Die Vorinstanz hat das Vorliegen des Widerrufsgrundes nach Art. 62 lit. b AuG (Verurteilung zu einer längerfristigen Freiheitsstrafe) bejaht, da der Beschwerdeführer in Deutschland zu einer Jugendstrafe von 18 Monaten verurteilt worden sei. Zu Recht wendet sich der Beschwerdeführer nicht dagegen, dass im Ausland verhängte Strafen grundsätzlich zu berücksichtigen sind (Urteile 2C_1116/2012 vom 20. Juni 2013 E. 2.4 mit Hinweisen; 2C_264/2011 vom 15. November 2011 E. 3.3; vgl. ferner BGE 134 II 25 E. 4.3.1 S. 29). Hingegen bringt der Beschwerdeführer vor, das Abstellen auf das Strafmass der Einheitsstrafe, bei der frühere Verurteilungen einbezogen worden sind, widerspreche dem Verbot der Addition unterjähriger Strafen (vgl. zu Letzterem BGE 139 I 31 E. 2.1 S. 32, 16 E. 2.1 S. 18; 137 II 297 E. 2 S. 299 ff.; 135 II 377 E. 4.2 S. 381). Wie es sich damit verhält, braucht vorliegend nicht abschliessend geprüft zu werden (vgl. sinngemäss Urteil 2C_733/2012 vom 24. Januar 2013 E. 6.2.2 und E. 6.2.3).</w:t>
      </w:r>
    </w:p>
    <w:p>
      <w:r>
        <w:rPr>
          <w:b/>
        </w:rPr>
        <w:t>E. 2.4.2</w:t>
      </w:r>
    </w:p>
    <w:p>
      <w:r>
        <w:t>Selbst wenn eine Aufsplittung in verschiedene Teilstrafen für die einzelnen Verurteilungen vorzunehmen wäre, würde sich dies nicht entscheidend zugunsten des Beschwerdeführers auswirken. Die einzelnen Straftaten, die der Beschwerdeführer allesamt nach seiner Volljährigkeit begangen hat, stellen einen erheblichen und wiederholten Verstoss gegen die öffentliche Sicherheit und Ordnung dar und erfüllen damit - auch bei Einzelbetrachtung - einen Widerrufsgrund (Art. 62 lit. c AuG; Urteil 2C_161/2013 vom 3. September 2013 E. 2.4.1 mit Hinweisen). Nicht erheblich ist dabei, dass der Beschwerdeführer die Straftaten vor Einleitung des Familiennachzugsverfahrens begangen hat (vgl. z.B. Urteile 2C_1116/2012 vom 20. Juni 2013 E. 2.4; 2C_339/2012 vom 10. Juli 2012 E. 2.3.1).</w:t>
      </w:r>
    </w:p>
    <w:p>
      <w:r>
        <w:rPr>
          <w:b/>
        </w:rPr>
        <w:t>E. 2.4.3</w:t>
      </w:r>
    </w:p>
    <w:p>
      <w:r>
        <w:t>Schliesslich setzt des Verschweigen der Vorstrafen im Rahmen des Familiennachzugs einen eigenständigen Widerrufsgrund (vgl. Art. 62 lit. a AuG; Urteile 2C_1116/2012 vom 20. Juni 2013 E. 2.3; 2C_1186/2012 vom 18. Juli 2013 E. 4.1). Bei Vorstrafen, nach denen im Formular "Fremdenpolizeiliche Anmeldung" ausdrücklich gefragt worden ist, handelt es sich um Umstände, die für den Bewilligungsentscheid massgeblich sein können; es ist nicht erforderlich, dass die Bewilligung bei richtigen und vollständigen Angaben notwendigerweise zu verweigern gewesen wäre (Urteile 2C_248/2013 vom 15. August 2013 E. 3; 2C_403/2011 vom 2. Dezember 2011 E. 3.3.1 mit Hinweis).</w:t>
      </w:r>
    </w:p>
    <w:p>
      <w:r>
        <w:rPr>
          <w:b/>
        </w:rPr>
        <w:t>E. 2.5.1</w:t>
      </w:r>
    </w:p>
    <w:p>
      <w:r>
        <w:t>Die genannten Widerrufsgründe fallen auch bei der Prüfung eines nachehelichen Härtefalls nach Art. 50 Abs. 1 lit. b AuG ins Gewicht. In diesem Rahmen sind zudem die Interessen gemeinsamer Kinder zu berücksichtigen ( Art. 8 EMRK ; Art. 13 BV ; BGE 137 II 345 E. 3.2.2 S. 349; Urteil 2C_1112/2012 vom 14. Juni 2013 E. 2.4, zur Publikation vorgesehen).</w:t>
      </w:r>
    </w:p>
    <w:p>
      <w:r>
        <w:rPr>
          <w:b/>
        </w:rPr>
        <w:t>E. 2.5.2</w:t>
      </w:r>
    </w:p>
    <w:p>
      <w:r>
        <w:t>Unter dem Schutz von Art. 8 EMRK steht in erster Linie die Kernfamilie ( BGE 135 I 143 E. 1.3.2 S. 146 mit Hinweis; Urteile 2C_1119/2012 vom 4. Juli 2013 E. 6.1; 2C_288/2013 vom 27. Juni 2013 E. 2.5.1). Durch Art. 8 EMRK wird jedoch nicht primär ein rechtlich begründetes, sondern ein intaktes und tatsächlich gelebtes Familienleben geschützt ( BGE 137 I 284 E. 1.3 S. 287 ; 135 I 143 E. 3.1 S. 148). Aus familienrechtlichen Gründen muss der Elternteil, der sich für das Zusammenleben mit seinen Kindern auf Art. 8 EMRK beruft, grundsätzlich über das Sorge- bzw. Obhutsrecht verfügen ( BGE 137 I 284 E. 2.3.1 S. 290, 247 E. 4.2.1 und 4.2.2 S. 250 f. mit Hinweisen). Bei einem nicht sorge- bzw. obhutsberechtigten ausländischen Elternteil ist nach Auflösen der ehelichen Gemeinschaft ein Anspruch auf Erteilung einer Aufenthaltsbewilligung dann zu bejahen, wenn der persönliche Kontakt zum Kind im Rahmen eines üblichen Besuchsrechts tatsächlich wahrgenommen wird, auch in wirtschaftlicher Hinsicht eine besonders intensive Beziehung zum Kind besteht und sich der ausländische Elternteil korrekt ("tadellos") verhalten hat (Urteile 2C_1105/2012 vom 5. August 2013 E. 2.2; 2C_1112/2012 vom 14. Juni 2013 E. 2, zur Publikation vorgesehen; vgl. ferner BGE 137 I 284 E. 2.3.1 S. 290; 136 II 78 E. 4.7 und 4.8 S. 85 ff.).</w:t>
      </w:r>
    </w:p>
    <w:p>
      <w:r>
        <w:rPr>
          <w:b/>
        </w:rPr>
        <w:t>E. 2.5.3</w:t>
      </w:r>
    </w:p>
    <w:p>
      <w:r>
        <w:t>Das Verhalten des Beschwerdeführers hat zu Klagen Anlass gegeben (vgl. eingehend oben E. 2.4) und steht damit einem Anspruch auf Aufenthaltsbewilligung unter dem Titel von Art. 50 Abs. 1 lit. b AuG bzw. Art. 8 EMRK und Art. 13 BV entgegen (vgl. Urteil 2C_163/2013 vom 1. Mai 2013 E. 2.1). Weiter hat die Vorinstanz zu Recht darauf hingewiesen, dass die erforderliche enge wirtschaftliche Beziehung des Beschwerdeführers zu seinem Sohn angesichts der nur unregelmässig geleisteten Unterhaltszahlungen - beginnend im Juli 2012 mit Ausnahmen in den Monaten September und Oktober 2012 - im massgeblichen Zeitpunkt des vorinstanzlichen Urteils (vgl. Art. 105 BGG ) zu verneinen ist. Offenbleiben kann damit, ob das wöchentliche begleitete Besuchsrecht von zwei Stunden tatsächlich ausgeübt wird und welche Gründe einer effektiven Wahrnehmung allenfalls entgegenstehen.</w:t>
      </w:r>
    </w:p>
    <w:p>
      <w:r>
        <w:rPr>
          <w:b/>
        </w:rPr>
        <w:t>E. 2.6</w:t>
      </w:r>
    </w:p>
    <w:p>
      <w:r>
        <w:t>Aufgrund des Gesagten überwiegt das öffentliche Interesse, den Aufenthalt des Beschwerdeführers zu beenden, sein privates Interesse am weiteren Aufenthalt in der Schweiz (vgl. Urteil 2C_382/2012 vom 7. Dezember 2012 E. 2.3). Dabei bleibt nicht unberücksichtigt, dass seit den Verurteilungen in Deutschland einige Zeit verstrichen ist und sich der Beschwerdeführer gut dreieinhalb Jahre ordnungsgemäss in der Schweiz aufgehalten hat. Allerdings hat der Beschwerdeführer ein früheres Handeln der Behörden durch sein täuschendes Verhalten im Bewilligungsverfahren verhindert. Die Migrationsbehörden ihrerseits reagierten unverzüglich, als sie Kenntnis von der Täuschung erlangt hatten. Die Vorinstanz durfte die seit der Verurteilung ergangene Zeitspanne in diesem Sinne relativieren und insgesamt von einem gewichtigen öffentlichen Interesse an der Beendigung des Aufenthalts ausgehen (vgl. Urteil 2C_1116/2012 vom 20. Juni 2013 E. 3.3 mit Hinweisen). Schliesslich ist weder ersichtlich noch dargetan, dass die soziale Wiedereingliederung des Beschwerdeführers in Marokko stark gefährdet ist.</w:t>
      </w:r>
    </w:p>
    <w:p>
      <w:r>
        <w:rPr>
          <w:b/>
        </w:rPr>
        <w:t>E. 3.1</w:t>
      </w:r>
    </w:p>
    <w:p>
      <w:r>
        <w:t>Der angefochtene Entscheid verletzt weder Art. 50 AuG noch Art. 8 EMRK oder Art. 13 BV . Folglich ist die Beschwerde unbegründet.</w:t>
      </w:r>
    </w:p>
    <w:p>
      <w:r>
        <w:rPr>
          <w:b/>
        </w:rPr>
        <w:t>E. 3.2</w:t>
      </w:r>
    </w:p>
    <w:p>
      <w:r>
        <w:t>Aus den vorstehenden Erwägungen ergibt sich, dass die Beschwerde in öffentlich-rechtlichen Angelegenheiten unbegründet ist. Da die Gewinnaussichten der Prozessbegehren von Anfang an beträchtlich geringer waren als die Verlustgefahren, erweist sich die Beschwerde als aussichtslos und das Gesuch um unentgeltliche Rechtspflege ist abzuweisen ( Art. 64 Abs. 1 BGG ; BGE 129 I 129 E. 2.3.1 S. 135 f.; Urteil 2C_856/2012 vom 25. März 2013 E. 7.1). Dem Verfahrensausgang entsprechend wird der unterliegende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