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2C_132/2019 vom 11. Februar 2019</w:t>
      </w:r>
    </w:p>
    <w:p>
      <w:r>
        <w:t>Bundesgericht, 2019-02-11, FR</w:t>
      </w:r>
    </w:p>
    <w:p>
      <w:r>
        <w:rPr>
          <w:b/>
        </w:rPr>
        <w:t xml:space="preserve">Quelle: </w:t>
      </w:r>
      <w:r>
        <w:t>https://mcp.opencaselaw.ch/entscheid/bger_2C_132_2019</w:t>
      </w:r>
    </w:p>
    <w:p>
      <w:r>
        <w:t>FR: TF 2C_132/2019 du 11 février 2019</w:t>
      </w:r>
    </w:p>
    <w:p>
      <w:r>
        <w:t>IT: TF 2C_132/2019 del 11 febbraio 2019</w:t>
      </w:r>
    </w:p>
    <w:p>
      <w:pPr>
        <w:pStyle w:val="Heading2"/>
      </w:pPr>
      <w:r>
        <w:t>Erwägungen</w:t>
      </w:r>
    </w:p>
    <w:p>
      <w:r>
        <w:rPr>
          <w:b/>
        </w:rPr>
        <w:t>E. 1</w:t>
      </w:r>
    </w:p>
    <w:p>
      <w:r>
        <w:t>Par arrêt du 10 janvier 2019, le Tribunal cantonal du canton de Vaud a rejeté le recours que X.________, de nationalité italienne, avait déposé contre la décision rendue le 5 décembre 2017 par le Service de la population du canton de Vaud révoquant son autorisation de séjour UE/AELE et prononçant son renvoi de Suisse.</w:t>
      </w:r>
    </w:p>
    <w:p>
      <w:r>
        <w:t>Par courrier du 21 janvier 2019, l'intéressé a déposé un recours contre l'arrêt rendu le 10 janvier 2019 par le Tribunal cantonal du canton de Vaud. Il n'a pas joint d'exemplaire de l'arrêt attaqué au mémoire de recours.</w:t>
      </w:r>
    </w:p>
    <w:p>
      <w:r>
        <w:t>Par ordonnance du 22 janvier 2019, adressée au recourant par recommandé, la Chancellerie de la IIe Cour de droit public a constaté le défaut de production de l'arrêt de l'instance précédente et imparti à l'intéressé un délai au 1er février 2019 pour remédier à cette irrégularité, à défaut de quoi le mémoire de recours ne serait pas pris en considération.</w:t>
      </w:r>
    </w:p>
    <w:p>
      <w:r>
        <w:rPr>
          <w:b/>
        </w:rPr>
        <w:t>E. 2</w:t>
      </w:r>
    </w:p>
    <w:p>
      <w:r>
        <w:t>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1 et 3 LTF ). Si les annexes prescrites font défaut, le Tribunal fédéral impartit un délai approprié à la partie pour remédier à l'irrégularité et l'avertit qu'à défaut le mémoire ne sera pas pris en considération ( art. 42 al. 5 LTF ). Les mémoires doivent être remis au plus tard le dernier jour du délai, soit au Tribunal fédéral soit, à l'attention de ce dernier, à La Poste Suisse ou à une représentation diplomatique ou consulaire suisse ( art. 48 al. 1 LTF ).</w:t>
      </w:r>
    </w:p>
    <w:p>
      <w:r>
        <w:t>En l'espèce, le recourant n'a certes pas produit l'arrêt attaqué dans le délai imparti, le courrier qui contenait l'arrêt attaqué ayant été posté le 3 février 2019, mais cette production a néanmoins eu lieu dans le délai légal de recours. Le mémoire peut donc être pris en considération.</w:t>
      </w:r>
    </w:p>
    <w:p>
      <w:r>
        <w:rPr>
          <w:b/>
        </w:rPr>
        <w:t>E. 3</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Le recourant produit une liasse de pièces en particulier en rapport avec son état de santé. Hormis le certificat mentionné par l'instance précédente établissant une incapacité de travail depuis le 1er janvier 2018 seulement, alors que le recourant aurait subi un accident le 2 mai 2017, toutes les autres pièces sont nouvelles et par conséquent irrecevables.</w:t>
      </w:r>
    </w:p>
    <w:p>
      <w:r>
        <w:t>Il s'ensuit que les courriers des 21 janvier et 1er février 2019, qui se bornent à rappeler certains faits ressortant de l'arrêt attaqué et à en ajouter d'autres nouveaux, fondés sur des moyens de preuve également nouveaux et donc irrecevables, ne contiennent pas de motivation qui critique l'application du droit par l'instance précédente. Or, l' art. 42 al. 2 LTF exige que les motifs du mémoire de recours exposent succinctement en quoi l'acte attaqué viole le droit.</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