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132/2015 vom 20. Februar 2015</w:t>
      </w:r>
    </w:p>
    <w:p>
      <w:r>
        <w:t>Bundesgericht, 2015-02-20, FR</w:t>
      </w:r>
    </w:p>
    <w:p>
      <w:r>
        <w:rPr>
          <w:b/>
        </w:rPr>
        <w:t xml:space="preserve">Quelle: </w:t>
      </w:r>
      <w:r>
        <w:t>https://mcp.opencaselaw.ch/entscheid/bger_2C_132_2015</w:t>
      </w:r>
    </w:p>
    <w:p>
      <w:r>
        <w:t>FR: TF 2C 132/2015 du 20 février 2015</w:t>
      </w:r>
    </w:p>
    <w:p>
      <w:r>
        <w:t>IT: TF 2C 132/2015 del 20 febbraio 2015</w:t>
      </w:r>
    </w:p>
    <w:p>
      <w:pPr>
        <w:pStyle w:val="Heading2"/>
      </w:pPr>
      <w:r>
        <w:t>Regeste</w:t>
      </w:r>
    </w:p>
    <w:p>
      <w:r>
        <w:t>Réexamen | Droit de cité et droit des étrangers</w:t>
      </w:r>
    </w:p>
    <w:p>
      <w:pPr>
        <w:pStyle w:val="Heading2"/>
      </w:pPr>
      <w:r>
        <w:t>Erwägungen</w:t>
      </w:r>
    </w:p>
    <w:p>
      <w:r>
        <w:rPr>
          <w:b/>
        </w:rPr>
        <w:t>E. 1</w:t>
      </w:r>
    </w:p>
    <w:p>
      <w:r>
        <w:t>Le recours en matière de droit public dans le domaine du droit des étrangers est irrecevable lorsque la décision a trait au déplacement de la résidence dans un autre canton ( art. 83 let . c ch. 6 LTF), indépendamment de l'existence ou non d'un droit à ce changement (arrêts 2C_1103/2013 du 26 juillet 2014 consid. 1.3; 2C_1025/2013 du 7 avril 2014 consid. 1.1; 2C_238/2014 du 11 mars 2014 consid. 2; 2D_5/2014 du 13 février 2014 consid. 2.1). En conséquence, seule est admissible en l'espèce la voie du recours constitutionnel subsidiaire formé par les recourants en relation avec la demande de changement de canton (cf. art. 113 LTF ), qui a fait l'objet de la décision du 2 avril 2013. Le sort du recours déposé par les recourantes 2, 3 et 4 dépend de l'issue de celui du recourant 1.</w:t>
      </w:r>
    </w:p>
    <w:p>
      <w:r>
        <w:rPr>
          <w:b/>
        </w:rPr>
        <w:t>E. 2.1</w:t>
      </w:r>
    </w:p>
    <w:p>
      <w:r>
        <w:t>Lorsque l'autorité saisie d'une demande de réexamen refuse d'entrer en matière, comme en l'espèce, un recours ne peut porter que sur le bien-fondé de ce refus ( ATF 113 Ia 146 consid. 3c p. 153 s.; arrêt du 2C_1141 du 11 décembre 2013, consid. 4). Il appartenait donc aux recourants d'invoquer l' art. 9 Cst. et de démontrer concrètement en quoi l'instance précédente aurait, le cas échéant, appliqué de manière arbitraire le droit de procédure cantonal en particulier l' art. 64 LPA /VD, ce qu'ils n'ont pas fait d'une manière qui soit conforme aux exigences de motivation de l' art. 106 al. 2 LTF .</w:t>
      </w:r>
    </w:p>
    <w:p>
      <w:r>
        <w:rPr>
          <w:b/>
        </w:rPr>
        <w:t>E. 2.2</w:t>
      </w:r>
    </w:p>
    <w:p>
      <w:r>
        <w:t>Les recourants invoquent la violation de l' art. 29 al. 2 Cst. Ils reprochent à tort à l'instance précédente d'avoir refusé leur offre de preuve consistant à établir par expertise que le recourant 1 s'était amendé. En effet, le recours en instance cantonale déposé contre la décision du 15 octobre 2014 ne pouvait porter que sur le bien-fondé de l'irrecevabilité respectivement du rejet de la demande de réexamen au regard de l' art. 64 LPA /VD. Il ne pouvait pas porter sur le fond soit sur les conditions exigées par la loi pour autoriser un changement de canton, notamment sur l'amendement du recourant 1. L'expertise dont font état les recourants ayant pour objet d'établir une condition de fond était sans objet en procédure de recours cantonale car elle sortait de cadre du litige, de sorte qu'en s'abstenant de l'ordonner, l'instance précédente n'a pas violé le droit d'être entendu des recourants. Le grief est par conséquent rejeté.</w:t>
      </w:r>
    </w:p>
    <w:p>
      <w:r>
        <w:rPr>
          <w:b/>
        </w:rPr>
        <w:t>E. 3</w:t>
      </w:r>
    </w:p>
    <w:p>
      <w:r>
        <w:t>Les recourants font valoir que l' art. 64 LPA /VD serait contraire à l' art. 8 CEDH qui garantit le respect de la vie privée.</w:t>
      </w:r>
    </w:p>
    <w:p>
      <w:r>
        <w:rPr>
          <w:b/>
        </w:rPr>
        <w:t>E. 3.1</w:t>
      </w:r>
    </w:p>
    <w:p>
      <w:r>
        <w:t>Selon le Tribunal fédéral, le droit à une autorisation de séjour découlant de la protection de la vie privée ne peut être déduit de l' art. 8 CEDH qu'à des conditions extrêmement restrictives, l'étranger devant entretenir avec la Suisse des liens sociaux ou professionnels d'une intensité particulière, allant au-delà d'une intégration normale, et des relations sociales profondes en dehors du cadre familial (cf. arrêts 2C_457/2014 du 3 juin 2014 consid. 4.2; 2C_860/2013 du 18 octobre 2013 consid. 4.1; ATF 130 II 281 consid. 3.2.1 p. 286 et les arrêts cités).</w:t>
      </w:r>
    </w:p>
    <w:p>
      <w:r>
        <w:rPr>
          <w:b/>
        </w:rPr>
        <w:t>E. 3.2</w:t>
      </w:r>
    </w:p>
    <w:p>
      <w:r>
        <w:t>Le recourant 1 n'expose pas de manière concrète en quoi il aurait développé des liens d'une intensité particulière dans le canton de Vaud, sinon pour affirmer qu'il y aurait séjourné pendant une durée qu'il qualifie de considérable. Il perd de vue qu'il ne s'y est installé qu'en 2009 de façon clandestine et qu'il a fait l'objet dès 2012 d'un régime de semi-détention, qui ne favorise pas le développement d'une vie sociale pleine et entière (cf. sur ce point cf. arrêt 2C_654/2013 du 12 février 2014, consid. 2). Il n'expose pas avoir d'activités économiques, professionnelles et sociales particulières, mais il a bien plutôt bénéficié des prestations de l'assurance chômage. Il ne peut pas non plus s'appuyer sur son mariage puisque le droit de séjour de son épouse et de ses enfants dépend de sa propre autorisation. Il ne peut par conséquent pas se prévaloir de manière défendable du droit au respect de sa vie privée garantie par l' art. 8 CEDH , dont la portée est similaire à celle de l' art. 13 Cst. (arrêt 2C_113/2013 du 26 juillet 2014 consid. 6.1). Le grief est par conséquent irrecevable.</w:t>
      </w:r>
    </w:p>
    <w:p>
      <w:r>
        <w:rPr>
          <w:b/>
        </w:rPr>
        <w:t>E. 4</w:t>
      </w:r>
    </w:p>
    <w:p>
      <w:r>
        <w:t>Les recourants se plaignent également en vain de la violation de l' art. 13 CEDH . Selon l' art. 13 CEDH , "toute personne dont les droits et libertés reconnus dans la Convention ont été violés, a droit à l'octroi d'un recours effectif devant une instance nationale" (cf. ATF 137 I 296 consid. 4.3.1 p. 300 s.; 136 I 274 consid. 1.3 p. 277). Cette disposition exige un recours interne permettant d'examiner le contenu d'un "grief défendable" fondé sur la Convention et d'offrir une réparation appropriée, sans qu'elle ne puisse s'interpréter comme imposant "un recours interne pour toute doléance, si injustifiée soit-elle, qu'un individu peut présenter sur le terrain de la Convention" (arrêts de la CourEDH, M.S.S. contre Belgique et Grèce du 21 janvier 2011, req. 30696/09, §§ 288 ss; Boyle et Rice contre Royaume-Uni du 27 avril 1988, série A vol. 131 § 52). En l'espèce, il est établi ci-dessus que le recourant 1 ne peut pas se prévaloir de manière défendable de son droit au respect de la vie privée garanti par l' art. 8 CEDH . Le grief est irrecevable.</w:t>
      </w:r>
    </w:p>
    <w:p>
      <w:r>
        <w:rPr>
          <w:b/>
        </w:rPr>
        <w:t>E. 5</w:t>
      </w:r>
    </w:p>
    <w:p>
      <w:r>
        <w:t>Les considérants qui précèdent conduisent à l'irrecevabilité du recours en matière de droit public et au rejet du recours constitutionnel subsidiaire dans la mesure où il est recevable. La requête d'effet suspensif est par conséquent devenue sans objet. Succombant, les recourants doivent supporter les frais de justice devant le Tribunal fédéral solidairement entre eux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