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2C_12/2021 vom 6. Januar 2021</w:t>
      </w:r>
    </w:p>
    <w:p>
      <w:r>
        <w:t>Bundesgericht, 2021-01-06, FR</w:t>
      </w:r>
    </w:p>
    <w:p>
      <w:r>
        <w:rPr>
          <w:b/>
        </w:rPr>
        <w:t xml:space="preserve">Quelle: </w:t>
      </w:r>
      <w:r>
        <w:t>https://mcp.opencaselaw.ch/entscheid/bger_2C_12_2021</w:t>
      </w:r>
    </w:p>
    <w:p>
      <w:r>
        <w:t>FR: TF 2C_12/2021 du 6 janvier 2021</w:t>
      </w:r>
    </w:p>
    <w:p>
      <w:r>
        <w:t>IT: TF 2C_12/2021 del 6 gennaio 2021</w:t>
      </w:r>
    </w:p>
    <w:p>
      <w:pPr>
        <w:pStyle w:val="Heading2"/>
      </w:pPr>
      <w:r>
        <w:t>Erwägungen</w:t>
      </w:r>
    </w:p>
    <w:p>
      <w:r>
        <w:rPr>
          <w:b/>
        </w:rPr>
        <w:t>E. 1</w:t>
      </w:r>
    </w:p>
    <w:p>
      <w:r>
        <w:t>Par arrêt du 4 décembre 2020, le Tribunal cantonal du canton de Vaud a rejeté le recours que A.________ avait déposé contre la décision sur réclamation de l'Administration cantonale des impôts du canton de Vaud du 10 juin 2020 relative aux déductions pour frais de transport en véhicule privé en matière d'impôt cantonal et communal pour les périodes fiscales 2017 et 2018. La déduction des frais d'usage du véhicule privé pour les déplacements entre Pully et Genève était refusée car le gain de temps, eu égard au temps passé en transport public pour le même trajet et au vu de l'appréciation des preuves et éléments de fait, était insuffisant.</w:t>
      </w:r>
    </w:p>
    <w:p>
      <w:r>
        <w:rPr>
          <w:b/>
        </w:rPr>
        <w:t>E. 2</w:t>
      </w:r>
    </w:p>
    <w:p>
      <w:r>
        <w:t>Par courrier du 3 janvier 2021, le contribuable dépose un recours auprès du Tribunal fédéral contre l'arrêt rendu le 4 décembre 2020 par le Tribunal cantonal du canton de Vaud. Il affirme en substance qu'il a droit à la déduction des frais de transport privé parce que le gain de temps qui résulte de l'usage de son véhicule privé par rapport au temps nécessaire en transports publics est supérieur à une heure. Il conteste par annotations manuscrites sur la copie de l'arrêt attaqué jointe au recours des éléments de fait sur lesquels se fondent l'arrêt attaqué.</w:t>
      </w:r>
    </w:p>
    <w:p>
      <w:r>
        <w:rPr>
          <w:b/>
        </w:rPr>
        <w:t>E. 3</w:t>
      </w:r>
    </w:p>
    <w:p>
      <w:r>
        <w:t>Les recours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w:t>
      </w:r>
    </w:p>
    <w:p>
      <w:r>
        <w:t>En l'espèce, l'arrêt attaqué a examiné en détail les faits et les moyens de preuves sur lesquels se fondent les motifs retenus par l'autorité intimée pour refuser la déduction des frais de transport privé. Le recourant se borne à affirmer qu'il a droit à la déduction en cause et à contester certains faits retenus dans l'arrêt attaqué sans démontrer que les conditions de l' art. 97 al. 1 LTF seraient réunies pour corriger d'éventuelles erreurs, sans s'en prendre concrètement à la motivation détaillée de l'instance précédente.</w:t>
      </w:r>
    </w:p>
    <w:p>
      <w:r>
        <w:rPr>
          <w:b/>
        </w:rPr>
        <w:t>E. 4</w:t>
      </w:r>
    </w:p>
    <w:p>
      <w:r>
        <w:t>Ne répondant pas aux exigences de motivation de l' art. 42 al. 2 LTF , le recours est ainsi manifestement irrecevable ( art. 108 al. 1 let. b LTF ) et doit être traité selon la procédure simplifiée de l' art. 108 LTF , sans qu'il y ait lieu d'ordonner un échange d'écritures. Succombant, le recourant doit supporter les frais de justice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