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2C_1259/2012 vom 22. April 2013</w:t>
      </w:r>
    </w:p>
    <w:p>
      <w:r>
        <w:t>Bundesgericht, 2013-04-22, DE</w:t>
      </w:r>
    </w:p>
    <w:p>
      <w:r>
        <w:rPr>
          <w:b/>
        </w:rPr>
        <w:t xml:space="preserve">Quelle: </w:t>
      </w:r>
      <w:r>
        <w:t>https://mcp.opencaselaw.ch/entscheid/bger_2C_1259_2012</w:t>
      </w:r>
    </w:p>
    <w:p>
      <w:r>
        <w:t>FR: TF 2C_1259/2012 du 22 avril 2013</w:t>
      </w:r>
    </w:p>
    <w:p>
      <w:r>
        <w:t>IT: TF 2C_1259/2012 del 22 aprile 2013</w:t>
      </w:r>
    </w:p>
    <w:p>
      <w:pPr>
        <w:pStyle w:val="Heading2"/>
      </w:pPr>
      <w:r>
        <w:t>Erwägungen</w:t>
      </w:r>
    </w:p>
    <w:p>
      <w:r>
        <w:rPr>
          <w:b/>
        </w:rPr>
        <w:t>E. 1.1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S. 255; 133 III 350 E. 1.3 S. 352).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nicht ein ( BGE 136 II 101 E. 3 S. 104 f.).</w:t>
      </w:r>
    </w:p>
    <w:p>
      <w:r>
        <w:rPr>
          <w:b/>
        </w:rPr>
        <w:t>E. 1.2</w:t>
      </w:r>
    </w:p>
    <w:p>
      <w:r>
        <w:t>Es ist fraglich, inwieweit die vorliegende Eingabe den entsprechenden Anforderungen genügt (vgl. auch LAURENT MERZ, in: Basler Kommentar, Bundesgerichtsgesetz, 2. Aufl. 2011, N. 52 ff. zu Art. 42 BGG ): Der Beschwerdeführer beschränkt sich im Wesentlichen darauf, die bereits vor der Vorinstanz erhobenen Einwände zu wiederholen. Zwar behauptet er, die Feststellung des Sachverhalts und die Schlussfolgerungen der Vorinstanz seien willkürlich, er legt indessen nicht dar, inwiefern die Darlegungen der Vorinstanz als offensichtlich unhaltbar gelten müssten (vgl. Art. 106 Abs. 2 BGG ; "qualifizierte Rüge- und Substanziierungspflicht": BGE 133 II 249 E. 1.4.2 S. 254). Dies ist auch nicht ersichtlich.</w:t>
      </w:r>
    </w:p>
    <w:p>
      <w:r>
        <w:rPr>
          <w:b/>
        </w:rPr>
        <w:t>E. 2.1</w:t>
      </w:r>
    </w:p>
    <w:p>
      <w:r>
        <w:t>Der Beschwerdeführer macht sodann geltend, die Vorinstanz habe seinen Anspruch auf rechtliches Gehör verletzt. Sie habe zu Unrecht den Mangel, dass das Migrationsamt ihn zu den Befragungen der Kinder seiner Ehefrau nicht mehr vernommen habe, als im Rekursverfahren vor der Sicherheitsdirektion geheilt betrachtet (vgl. angefochtener Entscheid E. 2.2).</w:t>
      </w:r>
    </w:p>
    <w:p>
      <w:r>
        <w:rPr>
          <w:b/>
        </w:rPr>
        <w:t>E. 2.2</w:t>
      </w:r>
    </w:p>
    <w:p>
      <w:r>
        <w:t>Grundsätzlich führt die Verletzung des rechtlichen Gehörs ungeachtet der Erfolgsaussichten der Beschwerde in der Sache selbst zur Aufhebung des angefochtenen Entscheids ( BGE 137 I 195 E. 2.2 S. 197 mit Hinweis).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w:t>
      </w:r>
    </w:p>
    <w:p>
      <w:r>
        <w:t>Der Beschwerdeführer hatte Gelegenheit, vor der Sicherheitsdirektion des Kantons Zürich, welche den Sachverhalt wie auch die Rechtslage frei überprüfen konnte, umfassend Akteneinsicht zu nehmen und sich zu den diversen Befragungen, insbesondere der Kinder seiner Ehefrau, zu äussern. Unter diesen Umständen ist im Ergebnis nicht zu beanstanden, dass die Vorinstanz den von ihr festgestellten Gehörsmangel als im Rechtsmittelverfahren geheilt betrachtet hat.</w:t>
      </w:r>
    </w:p>
    <w:p>
      <w:r>
        <w:rPr>
          <w:b/>
        </w:rPr>
        <w:t>E. 3.1</w:t>
      </w:r>
    </w:p>
    <w:p>
      <w:r>
        <w:t>Der Beschwerdeführer hat als Ehegatte einer EU-Bürgerin gestützt auf das Freizügigkeitsrecht grundsätzlich einen Anspruch auf die Bewilligung, solange die Ehe formell fortbesteht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dazu, die ausländerrechtlichen Zulassungsvorschriften zu umgehen, fällt der entsprechende Anspruch dahin (Urteile 2C_886/2011 vom 28. Februar 2012 E. 3.1; 2A.557/2002 vom 3. Juni 2004 E. 5). Die abgeleitete Bewilligung des Drittstaatsangehörigen kann in diesem Fall mangels Fortbestehens der Bewilligungsvoraussetzungen gestützt auf Art. 23 Abs. 1 VEP (SR 142.203) i.V.m. Art. 62 lit. a (falsche Angaben oder Verschweigen wesentlicher Tatsachen) oder lit. d AuG (Nichteinhalten einer mit der Verfügung verbundenen Bedingung) widerrufen werden.</w:t>
      </w:r>
    </w:p>
    <w:p>
      <w:r>
        <w:rPr>
          <w:b/>
        </w:rPr>
        <w:t>E. 3.2</w:t>
      </w:r>
    </w:p>
    <w:p>
      <w:r>
        <w:t>Die Vorinstanz hat für das Bundesgericht verbindlich festgestellt (vgl. E. 1 hiervor), dass es Ende Mai 2005 zur Trennung der Ehegatten kam und eine Wiederaufnahme der ehelichen Gemeinschaft bis heute nicht stattgefunden hat. Aufgrund diverser Befragungen der Ehegatten sowie der Kinder der Ehefrau kam die Vorinstanz zum Schluss, dass der Beschwerdeführer und seine fast 20 Jahre ältere Ehefrau zwar immer noch freundschaftlich miteinander verbunden sind, das Verhältnis zwischen ihnen aber lediglich noch einen unverbindlichen kollegialen Charakter aufweist. Daraus hat die Vorinstanz geschlossen, der Beschwerdeführer könne aus dem bloss noch formalen Bestand der Ehe kein Aufenthaltsrecht mehr ableiten (vgl. angefochtener Entscheid E. 3.4 und 3.5).</w:t>
      </w:r>
    </w:p>
    <w:p>
      <w:r>
        <w:rPr>
          <w:b/>
        </w:rPr>
        <w:t>E. 3.3</w:t>
      </w:r>
    </w:p>
    <w:p>
      <w:r>
        <w:t>Was der Beschwerdeführer dagegen ausführt, vermag nicht zu überzeugen: Der Beschwerdeführer lebt mittlerweile seit fast acht Jahren von seiner Ehegattin getrennt. Konnte in einer Anfangsphase allenfalls noch davon ausgegangen werden, dass die Eheleute wieder zusammenfinden würden, war dies bei Erlass der Verfügung durch das Amt für Migration am 2. August 2011 nicht mehr der Fall. Zwar macht der Beschwerdeführer geltend, sie stünden in regelmässigem telefonischen Kontakt und es bestehe nach wie vor eine "starke seelische Verbundenheit" zueinander; es komme auch noch zu intimen Kontakten. Es handle sich keinesfalls um eine "völlig inhaltslose Ehe". Der Beschwerdeführer räumt weiter ein, es möchten einzelne Indizien für eine bloss noch freundschaftliche Verbundenheit sprechen; es lägen aber auch gewichtige Indizien gegen diese Annahme vor.</w:t>
      </w:r>
    </w:p>
    <w:p>
      <w:r>
        <w:rPr>
          <w:b/>
        </w:rPr>
        <w:t>E. 3.3.1</w:t>
      </w:r>
    </w:p>
    <w:p>
      <w:r>
        <w:t>Zu Recht hat die Vorinstanz jedoch darauf hingewiesen, dass persönliche Treffen der Eheleute selten sind und diese auch seit mehreren Jahren keine Ferien mehr zusammen verbracht haben. Auch andere gemeinsame Aktivitäten sind weder dargelegt noch ersichtlich. Daraus durfte die Vorinstanz schliessen, die Ehegatten hätten sich im Laufe der nun bald acht Jahre anhaltenden Trennung nicht wieder angenähert und trotz der jeweils erklärten Absicht, die eheliche Gemeinschaft wieder aufzunehmen, seien offenbar keine konkreten Schritte in diese Richtung unternommen worden. Dies gilt umso mehr seit dem Umzug der Ehefrau, wodurch die örtliche Distanz zwischen den Eheleuten sogar noch grösser wurde (vgl. angefochtener Entscheid E. 3.5). Die Wiederaufnahme eines gemeinsamen Familienlebens scheint unter diesen Umständen als äusserst unwahrscheinlich und die diesbezüglichen Aussagen des Beschwerdeführers als reines Wunschdenken.</w:t>
      </w:r>
    </w:p>
    <w:p>
      <w:r>
        <w:rPr>
          <w:b/>
        </w:rPr>
        <w:t>E. 3.3.2</w:t>
      </w:r>
    </w:p>
    <w:p>
      <w:r>
        <w:t>Der Beschwerdeführer beruft sich somit auf eine inhaltsleere, nur noch formell fortbestehende Ehe, um sein Anwesenheitsrecht zu sichern. Hierzu dient die freizügigkeitsrechtliche Nachzugsregelung für Drittstaatsangehörige indessen nicht. Die Bewilligung war dem Beschwerdeführer zum Verbleib bei seiner Gattin erteilt worden; mit dem materiellen Scheitern der Ehe und der ausschliesslich noch ausländerrechtlich motivierten Anrufung des Ehebands sind die Bewilligungsvoraussetzungen dahingefallen und durfte die Aufenthaltsbewilligung deshalb widerrufen werden.</w:t>
      </w:r>
    </w:p>
    <w:p>
      <w:r>
        <w:rPr>
          <w:b/>
        </w:rPr>
        <w:t>E. 3.4</w:t>
      </w:r>
    </w:p>
    <w:p>
      <w:r>
        <w:t>Schliesslich beruft sich der Beschwerdeführer auch nicht (mehr) auf Art. 49 bzw. 50 AuG. Es sind denn auch keine wichtigen Gründe für getrennte Wohnorte bzw. wichtige persönliche Gründe für einen weiteren Verbleib des Beschwerdeführers in der Schweiz ersichtlich.</w:t>
      </w:r>
    </w:p>
    <w:p>
      <w:r>
        <w:rPr>
          <w:b/>
        </w:rPr>
        <w:t>E. 4.1</w:t>
      </w:r>
    </w:p>
    <w:p>
      <w:r>
        <w:t>Der angefochtene Entscheid verletzt damit weder Bundes- noch Staatsvertragsrecht. Die Beschwerde ist unbegründet und deshalb abzuweisen.</w:t>
      </w:r>
    </w:p>
    <w:p>
      <w:r>
        <w:rPr>
          <w:b/>
        </w:rPr>
        <w:t>E. 4.2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