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1242/2012 vom 12. August 2013</w:t>
      </w:r>
    </w:p>
    <w:p>
      <w:r>
        <w:t>Bundesgericht, 2013-08-12, FR</w:t>
      </w:r>
    </w:p>
    <w:p>
      <w:r>
        <w:rPr>
          <w:b/>
        </w:rPr>
        <w:t xml:space="preserve">Quelle: </w:t>
      </w:r>
      <w:r>
        <w:t>https://mcp.opencaselaw.ch/entscheid/bger_2C_1242_2012</w:t>
      </w:r>
    </w:p>
    <w:p>
      <w:r>
        <w:t>FR: TF 2C 1242/2012 du 12 août 2013</w:t>
      </w:r>
    </w:p>
    <w:p>
      <w:r>
        <w:t>IT: TF 2C 1242/2012 del 12 agosto 2013</w:t>
      </w:r>
    </w:p>
    <w:p>
      <w:pPr>
        <w:pStyle w:val="Heading2"/>
      </w:pPr>
      <w:r>
        <w:t>Regeste</w:t>
      </w:r>
    </w:p>
    <w:p>
      <w:r>
        <w:t>Droit de mutation | Finances publiques &amp; droit fiscal</w:t>
      </w:r>
    </w:p>
    <w:p>
      <w:pPr>
        <w:pStyle w:val="Heading2"/>
      </w:pPr>
      <w:r>
        <w:t>Erwägungen</w:t>
      </w:r>
    </w:p>
    <w:p>
      <w:r>
        <w:rPr>
          <w:b/>
        </w:rPr>
        <w:t>E. 1.1</w:t>
      </w:r>
    </w:p>
    <w:p>
      <w:r>
        <w:t>Le présent recours en matière de droit public est dirigé contre une décision finale (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1.2</w:t>
      </w:r>
    </w:p>
    <w:p>
      <w:r>
        <w:t>Les droits de mutation sont des impôts perçus par les cantons sur les transferts de propriété immobilière. Il s'agit d'impôts indirects qui n'entrent pas dans le mandat d'harmonisation fiscale de la Confédération de l' art. 129 Cst. et qui relèvent exclusivement du droit cantonal ( ATF 138 II 557 consid. 4.1 p. 559; 127 II 1 consid. 2b/aa p. 4). 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dont la prohibition de l'arbitraire ( art. 9 Cst. ). Lorsque, comme en l'occurrence, il est question de la violation de droits fondamentaux, le Tribunal fédéral n'examine pas le droit d'office, mais se prononce uniquement sur les griefs invoqués et motivés de façon suffisante par le recourant (cf. art. 106 al. 2 LTF ; ATF 134 I 23 consid. 5.2 p. 30 ss; 133 II 249 consid. 1.4 p. 254; arrêts 2C_753/2010 du 23 mars 2011 consid. 1.2 et 2C_713/2010 du 11 février 2011 consid. 1.3).</w:t>
      </w:r>
    </w:p>
    <w:p>
      <w:r>
        <w:rPr>
          <w:b/>
        </w:rPr>
        <w:t>E. 2</w:t>
      </w:r>
    </w:p>
    <w:p>
      <w:r>
        <w:t>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w:t>
      </w:r>
    </w:p>
    <w:p>
      <w:r>
        <w:rPr>
          <w:b/>
        </w:rPr>
        <w:t>E. 2.1</w:t>
      </w:r>
    </w:p>
    <w:p>
      <w:r>
        <w:t>La recourante reproche au Tribunal cantonal d'avoir appliqué arbitrairement l'art. 2 al. 2 de la loi vaudoise concernant le droit de mutation sur les transferts immobiliers et l'impôt sur les successions et donations du 27 février 1963 (LMSD; RS/VD 648.11) en retenant que le droit de superficie avait été transféré à titre onéreux de Y.________ à X.________. Cela constituerait également une violation des principes de la légalité de l'impôt ( art. 127 al. 1 Cst. ) et de l'égalité de traitement ( art. 8 Cst. ).</w:t>
      </w:r>
    </w:p>
    <w:p>
      <w:r>
        <w:rPr>
          <w:b/>
        </w:rPr>
        <w:t>E. 2.2</w:t>
      </w:r>
    </w:p>
    <w:p>
      <w:r>
        <w:t>Une décision est arbitraire lorsqu'elle contredit clairement la situation de fait, lorsqu'elle viole gravement une norme ou un principe juridique clair et indiscuté, ou lorsqu'elle heurte d'une manière choquante le sentiment de la justice et de l'équité. S'agissant de l'application du droit cantonal, 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 Dans la mesure où le prélèvement d'une contribution de droit exclusivement cantonal repose sur une interprétation et une application dénuée d'arbitraire de ce dernier, le grief de violation du principe de la légalité tiré de l' art. 127 al. 1 Cst. s'épuise dans l'examen du grief d'arbitraire (arrêt 2C_126/2010 du 22 juin 2010, consid. 2). La garantie de l'égalité de traitement ( art. 8 Cst. ) et la protection contre l'arbitraire ( art. 9 Cst. ) sont étroitement liées.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133 I 249 consid. 3.3 p. 254 s.; 131 I 1 consid. 4.2 p. 6 ss).</w:t>
      </w:r>
    </w:p>
    <w:p>
      <w:r>
        <w:rPr>
          <w:b/>
        </w:rPr>
        <w:t>E. 2.3</w:t>
      </w:r>
    </w:p>
    <w:p>
      <w:r>
        <w:t>Intitulé "Objet du droit", l'art. 2 LMSD dispose que: " 1. Le droit de mutation est perçu en cas de transfert entre vifs à titre onéreux de la propriété d'un immeuble ou d'une part d'immeuble situé dans le canton.</w:t>
      </w:r>
    </w:p>
    <w:p>
      <w:r>
        <w:rPr>
          <w:b/>
        </w:rPr>
        <w:t>E. 2.4</w:t>
      </w:r>
    </w:p>
    <w:p>
      <w:r>
        <w:t>La recourante soutient également que Y.________ agissait en tant que représentante indirecte de la société X.________ SA, à tout le moins lors de la signature de l'acte du 31 mars 2010. Elle en déduit que le deuxième transfert, de régularisation, devait être exempté du droit de mutation, car il n'avait eu pour effet que de faire passer à la recourante des droits déjà acquis pour son compte. Conformément à l' art. 32 al. 3 CO , Y.________ a dû en effet procéder à un transfert de propriété selon les droits réels pour permettre à la société de devenir propriétaire. Sur ce point, le Tribunal cantonal a retenu qu'il n'avait jamais été question d'un rapport de représentation lors de la promesse du 16 septembre 2009. La conclusion de l'acte du 31 mars 2010 n'avait pas fait naître une relation contractuelle entre Z.________ et la recourante, dans la mesure où rien ne permettait d'admettre l'existence d'un pouvoir de représentation entre Y.________ et la recourante. Celle-là avait acquis un droit propre sur l'immeuble et n'avait pas cédé ses droits découlant de l'acte du 31 mars 2010, contrairement à ce que prévoit l' art. 32 al. 3 CO . Il n'était pas non plus établi que Z.________ ait eu connaissance de la constitution de la société en devenir, ni qu'elle aurait accepté de traiter avec elle, de sorte que l' art. 32 al. 2 CO n'était pas applicable, pas plus que l' art. 645 al. 2 CO qui ne trouve application que si les obligations contractées avant l'inscription de la société anonyme l'ont été expressément pour le compte et au nom de la future société. Cette condition n'était pas réalisée en l'espèce, dès lors que Y.________ n'avait fourni aucun élément pour démontrer qu'elle aurait agi en qualité de fondatrice de la recourante. Elle n'avait d'ailleurs pas contesté le droit de mutation perçu auprès d'elle à la suite du transfert du 31 mars 2010. Ce raisonnement ne prête pas flanc à la critique et le Tribunal fédéral peut s'y référer. Il ne révèle aucune violation du droit fédéral en relation avec les règles de représentation. Le Tribunal cantonal pouvait ainsi retenir que Y.________ n'avait pas agi comme représentante de la recourante lors de l'acte de transfert du 31 mars 2010. Quant au second acte de transfert conclu le 13 octobre 2010, il se distinguait du premier, intitulé " cession de droit de superficie et cession de matériel, de mobilier et d'installations d'exploitation ", tant pas sa forme de " contrat de transfert de patrimoine à terme "que par les parties signataires. Comme l'a constaté la juridiction cantonale, l'acte du 13 octobre 2010 a bien été passé par deux personnes juridiquement différentes. A cet égard, on ne saurait en effet suivre les arguments de la recourante sur l'identité économique des deux parties à l'acte, fondés sur le fait que Y.________ est également unique actionnaire de X.________ SA.</w:t>
      </w:r>
    </w:p>
    <w:p>
      <w:r>
        <w:rPr>
          <w:b/>
        </w:rPr>
        <w:t>E. 2.5</w:t>
      </w:r>
    </w:p>
    <w:p>
      <w:r>
        <w:t>Pour les mêmes motifs, il n'y a pas lieu de remettre en cause la validité du droit de mutation au regard des art. 127 al. 2 Cst. et 167 al. 2 Cst.VD (principe de l'imposition selon la capacité contributive) que la recourante invoque en soutenant qu'il ne se justifie pas d'imposer à deux reprises une seule et même transaction sous l'angle économique. Dans la mesure où l'acte du 31 mars 2010 et celui du 13 octobre 2010 constituent des transferts de propriété distincts inscrits au Registre foncier, il n'est pas arbitraire de les soumettre chacun au droit de mutation qui est un impôt formel et respecte au demeurant la capacité contributive du contribuable, puisqu'il se calcule selon la valeur de l'immeuble transféré (art. 6 al. 1 LMSD).</w:t>
      </w:r>
    </w:p>
    <w:p>
      <w:r>
        <w:rPr>
          <w:b/>
        </w:rPr>
        <w:t>E. 2.6</w:t>
      </w:r>
    </w:p>
    <w:p>
      <w:r>
        <w:t>La recourante se plaint aussi d'une violation du principe de l'égalité de traitement, en alléguant qu'il n'existe " aucun motif valable de traiter différemment, sous l'angle du droit fiscal, le représentant qui cède son droit d'acquérir au représenté antérieurement ou postérieurement à la conclusion de l'acte de vente de la propriété foncière, qui fait suite à la promesse de vente conclue entre le vendeur et le représentant, si le représentant n'a tiré aucun profit de l'opération" (all. 48, recours p. 15). Dès lors qu'il est admis que le transfert de patrimoine du 13 octobre 2010 a eu lieu à titre onéreux et que Y.________ n'a pas représenté la recourante lors de la signature de l'acte du 31 mars 2010, le grief de violation du principe de l'égalité de traitement doit être rejeté comme étant manifestement mal fondé.</w:t>
      </w:r>
    </w:p>
    <w:p>
      <w:r>
        <w:rPr>
          <w:b/>
        </w:rPr>
        <w:t>E. 3</w:t>
      </w:r>
    </w:p>
    <w:p>
      <w:r>
        <w:t>Au vu de ce qui précède, le recours doit être rejeté avec suite de frais à la charge de la recourante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