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2C_1233/2012 vom 14. Dezember 2012</w:t>
      </w:r>
    </w:p>
    <w:p>
      <w:r>
        <w:t>Bundesgericht, 2012-12-14, FR</w:t>
      </w:r>
    </w:p>
    <w:p>
      <w:r>
        <w:rPr>
          <w:b/>
        </w:rPr>
        <w:t xml:space="preserve">Quelle: </w:t>
      </w:r>
      <w:r>
        <w:t>https://mcp.opencaselaw.ch/entscheid/bger_2C_1233_2012</w:t>
      </w:r>
    </w:p>
    <w:p>
      <w:r>
        <w:t>FR: TF 2C_1233/2012 du 14 décembre 2012</w:t>
      </w:r>
    </w:p>
    <w:p>
      <w:r>
        <w:t>IT: TF 2C_1233/2012 del 14 dicembre 2012</w:t>
      </w:r>
    </w:p>
    <w:p>
      <w:pPr>
        <w:pStyle w:val="Heading2"/>
      </w:pPr>
      <w:r>
        <w:t>Erwägungen</w:t>
      </w:r>
    </w:p>
    <w:p>
      <w:r>
        <w:rPr>
          <w:b/>
        </w:rPr>
        <w:t>E. 1</w:t>
      </w:r>
    </w:p>
    <w:p>
      <w:r>
        <w:t>Par arrêt du 7 novembre 2012, le Tribunal cantonal du canton de Vaud a rejeté le recours interjeté par X.________ ressortissante équatorienne née en 1972 mariée à un ressortissant espagnol vivant à Madrid contre la décision rendue le 23 février 2012 par le Service de la population du canton de Vaud lui refusant une autorisation de séjour pour études, dont elle a demandé la délivrance durant un séjour touristique limité à nonante jours.</w:t>
      </w:r>
    </w:p>
    <w:p>
      <w:r>
        <w:rPr>
          <w:b/>
        </w:rPr>
        <w:t>E. 2</w:t>
      </w:r>
    </w:p>
    <w:p>
      <w:r>
        <w:t>Agissant par la voie du recours en matière de droit public et celle du recours constitutionnel subsidiaire, l'intéressée demande au Tribunal fédéral de lui délivrer une autorisation de séjour pour études. Elle se plaint d'un excès et d'un abus de pouvoir d'appréciation, de l'établissement arbitraire des faits, d'une mauvaise appréciation des preuves ainsi que d'une violation du droit fédéral et de l'Accord du 21 juin 1999 entre la Confédération suisse, d'une part, et la Communauté européenne et ses Etats membres, d'autre part, sur la libre circulation des personnes (ALCP; l'Accord; RS 0.142.112.681). Elle demande l'effet suspensif ainsi que l'octroi de l'assistance judiciaire.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ni le droit international ni l'art. 27 de la loi fédérale du 16 décembre 2005 sur les étrangers (LEtr; RS 142.20), dont la formulation est potestative, ne confèrent de droit de séjour à la recourante. En effet, bien qu'elle soit mariée à un ressortissant de l'Union européenne, elle ne peut se prévaloir des dispositions de l'Accord puisque son mari, qui vit à Madrid, n'a pas fait usage des droits et libertés reconnus par le dit Accord ( ATF 136 II 241 consid. 11.3 p. 241).</w:t>
      </w:r>
    </w:p>
    <w:p>
      <w:r>
        <w:rPr>
          <w:b/>
        </w:rPr>
        <w:t>E. 4</w:t>
      </w:r>
    </w:p>
    <w:p>
      <w:r>
        <w:t>Reste seul ouvert le recours constitutionnel subsidiaire ( art. 113 ss LTF a contrario) pour violation des droits constitutionnels ( art. 116 LTF ).</w:t>
      </w:r>
    </w:p>
    <w:p>
      <w:r>
        <w:rPr>
          <w:b/>
        </w:rPr>
        <w:t>E. 4.1</w:t>
      </w:r>
    </w:p>
    <w:p>
      <w:r>
        <w:t>La qualité pour former un recours constitutionnel subsidiaire suppose cependant un "intérêt juridique" à l'annulation ou à la modification de la décision attaquée ( art. 115 let. b LTF ; cf. ATF 133 I 185 ), dont la recourante, qui n'a pas droit à une autorisation de séjour, ne peut se prévaloir en l'espèce (cf. ci-dessus, consid. 3), l'interdiction de l'arbitraire tirée de l' art. 9 Cst. ne conférant à elle seule pas une position juridique protégée au sens de l' art. 115 let. b LTF ( ATF 133 I 185 consid. 6.1 et 6.3 p. 197 s.).</w:t>
      </w:r>
    </w:p>
    <w:p>
      <w:r>
        <w:rPr>
          <w:b/>
        </w:rPr>
        <w:t>E. 4.2</w:t>
      </w:r>
    </w:p>
    <w:p>
      <w:r>
        <w:t>Même si elle n'a pas qualité pour agir au fond, la recourante peut, ce qu'elle ne fait pas en l'espèce,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