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1230/2013 vom 18. November 2013</w:t>
      </w:r>
    </w:p>
    <w:p>
      <w:r>
        <w:t>Bundesgericht, 2013-11-18, IT</w:t>
      </w:r>
    </w:p>
    <w:p>
      <w:r>
        <w:rPr>
          <w:b/>
        </w:rPr>
        <w:t xml:space="preserve">Quelle: </w:t>
      </w:r>
      <w:r>
        <w:t>https://mcp.opencaselaw.ch/entscheid/bger_2C_1230_2013</w:t>
      </w:r>
    </w:p>
    <w:p>
      <w:r>
        <w:t>FR: TF 2C 1230/2013 du 18 novembre 2013</w:t>
      </w:r>
    </w:p>
    <w:p>
      <w:r>
        <w:t>IT: TF 2C 1230/2013 del 18 novembre 2013</w:t>
      </w:r>
    </w:p>
    <w:p>
      <w:pPr>
        <w:pStyle w:val="Heading2"/>
      </w:pPr>
      <w:r>
        <w:t>Regeste</w:t>
      </w:r>
    </w:p>
    <w:p>
      <w:r>
        <w:t>Revoca di un permesso di dimora CE/AELS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137 I 371 consid. 1 pag. 372 e rinvio).</w:t>
      </w:r>
    </w:p>
    <w:p>
      <w:r>
        <w:rPr>
          <w:b/>
        </w:rPr>
        <w:t>E. 2.1</w:t>
      </w:r>
    </w:p>
    <w:p>
      <w:r>
        <w:t>Conformemente all'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Nell'allegato ricorsuale occorre quindi indicare in maniera concisa perché l'atto impugnato viola il diritto applicabile; la motivazione deve essere riferita all'oggetto del litigio, in modo che si capisca perché e su quali punti la decisione contestata è impugnata ( DTF 134 II 244 consid. 2.1 pag. 245). Ciò significa che la parte ricorrente non può limitarsi a riproporre genericamente argomenti giuridici già esposti dinanzi alle autorità cantonali, bensì deve confrontarsi criticamente con i considerandi della decisione dell'autorità inferiore che reputa lesivi del diritto (cfr. DTF 121 III 397 consid. 2a pag. 400).</w:t>
      </w:r>
    </w:p>
    <w:p>
      <w:r>
        <w:rPr>
          <w:b/>
        </w:rPr>
        <w:t>E. 2.2</w:t>
      </w:r>
    </w:p>
    <w:p>
      <w:r>
        <w:t>In concreto, l'allegato ricorsuale si esaurisce in una serie di precisazioni puntuali sulla situazione del ricorrente. Non si confronta invece con l'esauriente argomentazione sviluppata dal Tribunale amministrativo cantonale (cfr. sentenza impugnata consid. 2 segg., pag. 5 a 15), segnatamente non contiene precise ed esaustive considerazioni di natura giuridica che espongano quali disposizioni legali sarebbero violate e in cosa consisterebbe la lesione del diritto applicabile (art. 95 segg. LTF). Il ricorso, che non contiene 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3</w:t>
      </w:r>
    </w:p>
    <w:p>
      <w:r>
        <w:t>Le spese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