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2C_122/2010 vom 4. Oktober 2010</w:t>
      </w:r>
    </w:p>
    <w:p>
      <w:r>
        <w:t>Bundesgericht, 2010-10-04, DE</w:t>
      </w:r>
    </w:p>
    <w:p>
      <w:r>
        <w:rPr>
          <w:b/>
        </w:rPr>
        <w:t xml:space="preserve">Quelle: </w:t>
      </w:r>
      <w:r>
        <w:t>https://mcp.opencaselaw.ch/entscheid/bger_2C_122_2010</w:t>
      </w:r>
    </w:p>
    <w:p>
      <w:r>
        <w:t>FR: TF 2C_122/2010 du 4 octobre 2010</w:t>
      </w:r>
    </w:p>
    <w:p>
      <w:r>
        <w:t>IT: TF 2C_122/2010 del 4 ottobre 2010</w:t>
      </w:r>
    </w:p>
    <w:p>
      <w:pPr>
        <w:pStyle w:val="Heading2"/>
      </w:pPr>
      <w:r>
        <w:t>Erwägungen</w:t>
      </w:r>
    </w:p>
    <w:p>
      <w:r>
        <w:rPr>
          <w:b/>
        </w:rPr>
        <w:t>E. 1</w:t>
      </w:r>
    </w:p>
    <w:p>
      <w:r>
        <w:t>Gemäss Art. 43 Abs. 1 AuG (SR 142.20) hat die mit einem in der Schweiz niedergelassenen Landsmann verheiratete Beschwerdeführerin grundsätzlich Anspruch auf die von ihr beantragte Verlängerung der Aufenthaltsbewilligung. Insoweit ist die Beschwerde in öffentlich-rechtlichen Angelegenheiten zulässig ( Art. 83 lit. c Ziff. 2 BGG a contrario).</w:t>
      </w:r>
    </w:p>
    <w:p>
      <w:r>
        <w:rPr>
          <w:b/>
        </w:rPr>
        <w:t>E. 2.1</w:t>
      </w:r>
    </w:p>
    <w:p>
      <w:r>
        <w:t>Gemäss Art. 50 Abs. 1 AuG besteht der Anspruch auf Verlängerung der Aufenthaltsbewilligung nach Auflösung der Ehegemeinschaft weiter, wenn diese mindestens drei Jahre bestanden hat und eine erfolgreiche Integration besteht (lit. a) oder wichtige persönliche Gründe einen weiteren Aufenthalt in der Schweiz erforderlich machen (lit. b). Wichtige persönliche Gründe können namentlich vorliegen, wenn ein Ehegatte Opfer ehelicher Gewalt wurde und die soziale Wiedereingliederung im Herkunftsland stark gefährdet erscheint (Art. 50 Abs. 2 AuG).</w:t>
      </w:r>
    </w:p>
    <w:p>
      <w:r>
        <w:rPr>
          <w:b/>
        </w:rPr>
        <w:t>E. 2.2</w:t>
      </w:r>
    </w:p>
    <w:p>
      <w:r>
        <w:t>Die Voraussetzungen von Art. 50 Abs. 1 lit. a AuG sind entgegen der Auffassung der Beschwerdeführerin (Beschwerde Ziff. 5) schon mangels einer dreijährigen Ehegemeinschaft in der Schweiz nicht erfüllt (vgl. angefochtenes Urteil E. 2.3).</w:t>
      </w:r>
    </w:p>
    <w:p>
      <w:r>
        <w:rPr>
          <w:b/>
        </w:rPr>
        <w:t>E. 2.3</w:t>
      </w:r>
    </w:p>
    <w:p>
      <w:r>
        <w:t>Die Beschwerdeführerin macht geltend, in ihrem Fall lägen wichtige Gründe im Sinne von Art. 50 Abs. 1 lit. b und Abs. 2 AuG vor.</w:t>
      </w:r>
    </w:p>
    <w:p>
      <w:r>
        <w:rPr>
          <w:b/>
        </w:rPr>
        <w:t>E. 2.3.1</w:t>
      </w:r>
    </w:p>
    <w:p>
      <w:r>
        <w:t>Die Ausnahmebestimmung von Art. 50 AuG verleiht gewaltbetroffenen Migranten nicht ein eigenständiges Aufenthaltsrecht, wenn sie sich von ihrem Partner trennen (AB 2004 N 1062). Die Bestimmung bezweckt vielmehr die Vermeidung von schwer wiegenden Härtefällen bei der Auflösung der ehelichen Gemeinschaft. Danach kann sich ein weiterer Aufenthalt in der Schweiz etwa dann als gerechtfertigt erweisen, wenn der Ehepartner verstorben ist oder wenn aufgrund der gescheiterten Ehe die familiäre und soziale Wiedereingliederung im Herkunftsland stark erschwert wird. Zu berücksichtigen sind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Die in Art. 50 Abs. 2 AuG erwähnte eheliche Gewalt einerseits und die starke Gefährdung der sozialen Wiedereingliederung im Herkunftsland anderseits können ihrem Ausmass und den Gesamtumständen entsprechend je für sich einen wichtigen persönlichen Grund darstellen ( BGE 136 II 1 E. 4 und 5). Im Übrigen ist die Aufzählung in Art. 50 Abs. 2 AuG nicht abschliessend (vgl. Urteil 2C_635/2009 vom 26. März 2010 E. 5.3.1, mit Hinweisen).</w:t>
      </w:r>
    </w:p>
    <w:p>
      <w:r>
        <w:rPr>
          <w:b/>
        </w:rPr>
        <w:t>E. 2.3.2</w:t>
      </w:r>
    </w:p>
    <w:p>
      <w:r>
        <w:t>Die eheliche Gemeinschaft der Beschwerdeführerin dauerte in der Schweiz lediglich vom 1. November 2008 (Einreise) bis zum 5. Januar 2009. Bei einer derart kurzen Abwesenheit durfte die Vorinstanz mangels entgegenstehender Indizien ohne weiteres davon ausgehen, dass eine starke Gefährdung der Wiedereingliederung im Heimatland nicht gegeben sei. Es kann insoweit auf ihre Ausführungen verwiesen werden (angefochtenes Urteil E. 2.4.2). Die Beschwerdeführerin vermag keine Argumente anzuführen und zu belegen bzw. plausibel zu machen, welche darauf schliessen liessen, dass ihre Wiedereingliederung angesichts der äusserst kurzen Dauer der ehelichen Gemeinschaft in der Schweiz stark gefährdet sein könnte. Insbesondere ist der Vorinstanz darin zuzustimmen, dass die Unterstützung durch ihre Schwester und deren Mann nicht ihre Anwesenheit verlangt.</w:t>
      </w:r>
    </w:p>
    <w:p>
      <w:r>
        <w:rPr>
          <w:b/>
        </w:rPr>
        <w:t>E. 2.3.3</w:t>
      </w:r>
    </w:p>
    <w:p>
      <w:r>
        <w:t>Die Vorinstanz geht entgegen der erwähnten bundesgerichtlichen Rechtsprechung davon aus, dass die eheliche Gewalt nur als wichtiger Grund gilt, wenn zusätzlich für die Betroffene die Wiedereingliederung ins Herkunftsland stark gefährdet erscheint; denn es sei nicht der Sinn von Art. 50 AuG, einem von ehelicher Gewalt Betroffenen bereits am ersten Tag der Ehe mit einem in der Schweiz Anwesenheitsberechtigten einen solchen Anspruch zuzugestehen. Auch wenn die von der Beschwerdeführerin geschilderte eheliche Gewalt vorliegen sollte, könne darin mangels gefährdeter Wiedereingliederung indessen kein wichtiger persönlicher Grund gesehen werden; der Regierungsrat habe daher offen lassen können, ob und in welchem Mass eheliche Gewalt vorgelegen habe.</w:t>
      </w:r>
    </w:p>
    <w:p>
      <w:r>
        <w:rPr>
          <w:b/>
        </w:rPr>
        <w:t>E. 2.3.4</w:t>
      </w:r>
    </w:p>
    <w:p>
      <w:r>
        <w:t>Dem kann nicht gefolgt werden. Da nach der dargelegten Rechtsprechung, an der festzuhalten ist, eheliche Gewalt für sich allein als wichtiger persönlicher Grund gelten kann, durfte diese Frage nicht offen gelassen werden.</w:t>
      </w:r>
    </w:p>
    <w:p>
      <w:r>
        <w:t>Die Beschwerde ist aus diesen Gründen gutzuheissen, der angefochtene Entscheid aufzuheben und die Sache an die Vorinstanz zurückzuweisen, die zu prüfen hat, ob die von ihr festgestellte eheliche Gewalt ("massiv häusliche Gewalt", "erhebliche Übergriffe") eine solche Schwere bzw. eine so hohe Intensität erreicht hatte, dass sie bereits für sich allein - d.h. ungeachtet der Wiedereingliederungschancen im Heimatland - als wichtiger persönlicher Grund im Sinne von Art. 50 AuG qualifiziert werden kann.</w:t>
      </w:r>
    </w:p>
    <w:p>
      <w:r>
        <w:rPr>
          <w:b/>
        </w:rPr>
        <w:t>E. 3</w:t>
      </w:r>
    </w:p>
    <w:p>
      <w:r>
        <w:t>Bei diesem Ausgang sind keine Gerichtskosten zu erheben ( Art. 66 Abs. 4 BGG ). Hingegen hat der Kanton Zürich der Beschwerdeführerin für das Verfahren vor Bundesgericht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